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800000"/>
        <w:tblCellMar>
          <w:left w:w="70" w:type="dxa"/>
          <w:right w:w="70" w:type="dxa"/>
        </w:tblCellMar>
        <w:tblLook w:val="0000" w:firstRow="0" w:lastRow="0" w:firstColumn="0" w:lastColumn="0" w:noHBand="0" w:noVBand="0"/>
      </w:tblPr>
      <w:tblGrid>
        <w:gridCol w:w="1583"/>
        <w:gridCol w:w="6921"/>
      </w:tblGrid>
      <w:tr w:rsidR="002B55F1" w:rsidRPr="00176A58" w14:paraId="79E02EBB" w14:textId="77777777">
        <w:trPr>
          <w:trHeight w:val="889"/>
        </w:trPr>
        <w:tc>
          <w:tcPr>
            <w:tcW w:w="1583" w:type="dxa"/>
            <w:shd w:val="clear" w:color="auto" w:fill="000000"/>
            <w:vAlign w:val="center"/>
          </w:tcPr>
          <w:p w14:paraId="1FCB55E1" w14:textId="77777777" w:rsidR="002B55F1" w:rsidRPr="00C25AE6" w:rsidRDefault="002B55F1">
            <w:pPr>
              <w:jc w:val="center"/>
              <w:rPr>
                <w:rFonts w:ascii="Verdana" w:hAnsi="Verdana"/>
                <w:b/>
                <w:bCs/>
              </w:rPr>
            </w:pPr>
            <w:r w:rsidRPr="00C25AE6">
              <w:rPr>
                <w:rFonts w:ascii="Verdana" w:hAnsi="Verdana"/>
                <w:b/>
                <w:bCs/>
              </w:rPr>
              <w:t>SEPTIEMBRE</w:t>
            </w:r>
          </w:p>
          <w:p w14:paraId="56AA5607" w14:textId="2D2A3625" w:rsidR="002B55F1" w:rsidRPr="00176A58" w:rsidRDefault="00DF1F7F" w:rsidP="003F6E49">
            <w:pPr>
              <w:jc w:val="center"/>
              <w:rPr>
                <w:rFonts w:ascii="Verdana" w:hAnsi="Verdana"/>
                <w:b/>
                <w:bCs/>
                <w:sz w:val="22"/>
                <w:szCs w:val="22"/>
              </w:rPr>
            </w:pPr>
            <w:r>
              <w:rPr>
                <w:rFonts w:ascii="Verdana" w:hAnsi="Verdana"/>
                <w:b/>
                <w:bCs/>
              </w:rPr>
              <w:t>20</w:t>
            </w:r>
            <w:r w:rsidR="00504680">
              <w:rPr>
                <w:rFonts w:ascii="Verdana" w:hAnsi="Verdana"/>
                <w:b/>
                <w:bCs/>
              </w:rPr>
              <w:t>20</w:t>
            </w:r>
          </w:p>
        </w:tc>
        <w:tc>
          <w:tcPr>
            <w:tcW w:w="7061" w:type="dxa"/>
            <w:shd w:val="clear" w:color="auto" w:fill="993300"/>
            <w:vAlign w:val="center"/>
          </w:tcPr>
          <w:p w14:paraId="5FB33AB6" w14:textId="77777777" w:rsidR="002B55F1" w:rsidRPr="00C25AE6" w:rsidRDefault="002B55F1">
            <w:pPr>
              <w:jc w:val="center"/>
              <w:rPr>
                <w:rFonts w:ascii="Verdana" w:hAnsi="Verdana"/>
                <w:b/>
                <w:bCs/>
                <w:color w:val="FFFFFF"/>
                <w:sz w:val="24"/>
                <w:szCs w:val="24"/>
              </w:rPr>
            </w:pPr>
            <w:r w:rsidRPr="00C25AE6">
              <w:rPr>
                <w:rFonts w:ascii="Verdana" w:hAnsi="Verdana"/>
                <w:b/>
                <w:bCs/>
                <w:color w:val="FFFFFF"/>
                <w:sz w:val="24"/>
                <w:szCs w:val="24"/>
              </w:rPr>
              <w:t>APUNTES SOBRE LA ACTUALIDAD FISCAL</w:t>
            </w:r>
          </w:p>
        </w:tc>
      </w:tr>
    </w:tbl>
    <w:p w14:paraId="286DBB3D" w14:textId="77777777" w:rsidR="002B55F1" w:rsidRPr="00823B20" w:rsidRDefault="002B55F1">
      <w:pPr>
        <w:jc w:val="both"/>
        <w:rPr>
          <w:rFonts w:ascii="Verdana" w:hAnsi="Verdana"/>
          <w:b/>
        </w:rPr>
      </w:pPr>
    </w:p>
    <w:p w14:paraId="14B4DE04" w14:textId="77777777" w:rsidR="002B55F1" w:rsidRPr="00823B20" w:rsidRDefault="002B55F1">
      <w:pPr>
        <w:jc w:val="both"/>
        <w:rPr>
          <w:rFonts w:ascii="Verdana" w:hAnsi="Verdana"/>
          <w:b/>
          <w:lang w:val="es-ES_tradnl"/>
        </w:rPr>
      </w:pPr>
      <w:r w:rsidRPr="00823B20">
        <w:rPr>
          <w:rFonts w:ascii="Verdana" w:hAnsi="Verdana"/>
          <w:b/>
          <w:lang w:val="es-ES_tradnl"/>
        </w:rPr>
        <w:t xml:space="preserve">        </w:t>
      </w:r>
    </w:p>
    <w:p w14:paraId="79B60489" w14:textId="77777777" w:rsidR="002B55F1" w:rsidRPr="00C37D1D" w:rsidRDefault="002B55F1">
      <w:pPr>
        <w:pStyle w:val="Ttulo9"/>
        <w:rPr>
          <w:rFonts w:ascii="Verdana" w:hAnsi="Verdana"/>
          <w:sz w:val="20"/>
          <w:szCs w:val="20"/>
        </w:rPr>
      </w:pPr>
      <w:r w:rsidRPr="00C37D1D">
        <w:rPr>
          <w:rFonts w:ascii="Verdana" w:hAnsi="Verdana"/>
          <w:sz w:val="20"/>
          <w:szCs w:val="20"/>
        </w:rPr>
        <w:t>SUMARIO</w:t>
      </w:r>
    </w:p>
    <w:p w14:paraId="56D8E7BD" w14:textId="77777777" w:rsidR="002B55F1" w:rsidRPr="00C25AE6" w:rsidRDefault="002B55F1">
      <w:pPr>
        <w:jc w:val="center"/>
        <w:rPr>
          <w:rFonts w:ascii="Verdana" w:hAnsi="Verdana"/>
          <w:b/>
          <w:bCs/>
          <w:i/>
          <w:iCs/>
          <w:color w:val="800000"/>
          <w:sz w:val="18"/>
          <w:szCs w:val="18"/>
          <w:u w:val="single"/>
        </w:rPr>
      </w:pPr>
    </w:p>
    <w:p w14:paraId="5A3F341F" w14:textId="620BC810" w:rsidR="00FF63A3" w:rsidRDefault="005E29D3" w:rsidP="00914C23">
      <w:pPr>
        <w:numPr>
          <w:ilvl w:val="0"/>
          <w:numId w:val="16"/>
        </w:numPr>
        <w:tabs>
          <w:tab w:val="clear" w:pos="1080"/>
          <w:tab w:val="left" w:pos="284"/>
        </w:tabs>
        <w:ind w:left="284" w:hanging="284"/>
        <w:jc w:val="both"/>
        <w:rPr>
          <w:rFonts w:ascii="Verdana" w:hAnsi="Verdana"/>
          <w:b/>
          <w:bCs/>
          <w:i/>
          <w:color w:val="800000"/>
          <w:sz w:val="18"/>
          <w:szCs w:val="18"/>
        </w:rPr>
      </w:pPr>
      <w:r>
        <w:rPr>
          <w:rFonts w:ascii="Verdana" w:hAnsi="Verdana"/>
          <w:b/>
          <w:bCs/>
          <w:i/>
          <w:iCs/>
          <w:color w:val="800000"/>
          <w:sz w:val="18"/>
          <w:szCs w:val="18"/>
        </w:rPr>
        <w:t>RETRIBUCIÓN DE LOS ADMINISTRADORES Y CONSEJEROS</w:t>
      </w:r>
    </w:p>
    <w:p w14:paraId="45BF69C5" w14:textId="48C1BA7B" w:rsidR="00FD4A5D" w:rsidRDefault="00020E5D" w:rsidP="00914C23">
      <w:pPr>
        <w:tabs>
          <w:tab w:val="left" w:pos="284"/>
        </w:tabs>
        <w:ind w:left="284"/>
        <w:jc w:val="both"/>
        <w:rPr>
          <w:rFonts w:ascii="Verdana" w:hAnsi="Verdana"/>
          <w:b/>
          <w:bCs/>
          <w:i/>
          <w:color w:val="800000"/>
          <w:sz w:val="18"/>
          <w:szCs w:val="18"/>
        </w:rPr>
      </w:pPr>
      <w:r w:rsidRPr="00020E5D">
        <w:rPr>
          <w:rFonts w:ascii="Verdana" w:hAnsi="Verdana"/>
          <w:b/>
          <w:bCs/>
          <w:i/>
          <w:color w:val="800000"/>
          <w:sz w:val="18"/>
          <w:szCs w:val="18"/>
        </w:rPr>
        <w:t>La previsión incluida en el artículo 15.e) de la LIS facilita la deducibilidad de las retribuciones salariales que, en su caso, puedan percibir los administradores o consejeros de una entidad por el desempeño de funciones de alta dirección, u otras funciones derivadas de un contrato de carácter laboral ordinario con la entidad</w:t>
      </w:r>
      <w:r w:rsidR="00CB7787">
        <w:rPr>
          <w:rFonts w:ascii="Verdana" w:hAnsi="Verdana"/>
          <w:b/>
          <w:bCs/>
          <w:i/>
          <w:color w:val="800000"/>
          <w:sz w:val="18"/>
          <w:szCs w:val="18"/>
        </w:rPr>
        <w:t>.</w:t>
      </w:r>
    </w:p>
    <w:p w14:paraId="4B1BCAF0" w14:textId="04453341" w:rsidR="00020E5D" w:rsidRDefault="00020E5D" w:rsidP="00914C23">
      <w:pPr>
        <w:tabs>
          <w:tab w:val="left" w:pos="284"/>
        </w:tabs>
        <w:ind w:left="284"/>
        <w:jc w:val="both"/>
        <w:rPr>
          <w:rFonts w:ascii="Verdana" w:hAnsi="Verdana"/>
          <w:b/>
          <w:bCs/>
          <w:i/>
          <w:color w:val="800000"/>
          <w:sz w:val="18"/>
          <w:szCs w:val="18"/>
        </w:rPr>
      </w:pPr>
    </w:p>
    <w:p w14:paraId="6DCC04D3" w14:textId="408135F0" w:rsidR="00020E5D" w:rsidRPr="00020E5D" w:rsidRDefault="00020E5D" w:rsidP="00020E5D">
      <w:pPr>
        <w:pStyle w:val="Prrafodelista"/>
        <w:numPr>
          <w:ilvl w:val="0"/>
          <w:numId w:val="16"/>
        </w:numPr>
        <w:tabs>
          <w:tab w:val="clear" w:pos="1080"/>
          <w:tab w:val="left" w:pos="284"/>
        </w:tabs>
        <w:ind w:left="284" w:hanging="284"/>
        <w:jc w:val="both"/>
        <w:rPr>
          <w:rFonts w:ascii="Verdana" w:hAnsi="Verdana"/>
          <w:b/>
          <w:bCs/>
          <w:i/>
          <w:color w:val="800000"/>
          <w:sz w:val="18"/>
          <w:szCs w:val="18"/>
        </w:rPr>
      </w:pPr>
      <w:r w:rsidRPr="00020E5D">
        <w:rPr>
          <w:rFonts w:ascii="Verdana" w:hAnsi="Verdana"/>
          <w:b/>
          <w:bCs/>
          <w:i/>
          <w:color w:val="800000"/>
          <w:sz w:val="18"/>
          <w:szCs w:val="18"/>
        </w:rPr>
        <w:t>APROVECHAMIENTO DE LA COMPENSACIÓN DE BASES</w:t>
      </w:r>
      <w:r>
        <w:rPr>
          <w:rFonts w:ascii="Verdana" w:hAnsi="Verdana"/>
          <w:b/>
          <w:bCs/>
          <w:i/>
          <w:color w:val="800000"/>
          <w:sz w:val="18"/>
          <w:szCs w:val="18"/>
        </w:rPr>
        <w:t xml:space="preserve"> </w:t>
      </w:r>
      <w:r w:rsidRPr="00020E5D">
        <w:rPr>
          <w:rFonts w:ascii="Verdana" w:hAnsi="Verdana"/>
          <w:b/>
          <w:bCs/>
          <w:i/>
          <w:color w:val="800000"/>
          <w:sz w:val="18"/>
          <w:szCs w:val="18"/>
        </w:rPr>
        <w:t>IMPONIBLES NEGATIVAS DE EJERCICIOS ANTERIORES</w:t>
      </w:r>
    </w:p>
    <w:p w14:paraId="0335F5D9" w14:textId="74DC3F9C" w:rsidR="00020E5D" w:rsidRDefault="00020E5D" w:rsidP="00555B6B">
      <w:pPr>
        <w:tabs>
          <w:tab w:val="left" w:pos="284"/>
        </w:tabs>
        <w:ind w:left="284"/>
        <w:jc w:val="both"/>
        <w:rPr>
          <w:rFonts w:ascii="Verdana" w:hAnsi="Verdana"/>
          <w:b/>
          <w:bCs/>
          <w:i/>
          <w:color w:val="800000"/>
          <w:sz w:val="18"/>
          <w:szCs w:val="18"/>
        </w:rPr>
      </w:pPr>
      <w:r w:rsidRPr="00020E5D">
        <w:rPr>
          <w:rFonts w:ascii="Verdana" w:hAnsi="Verdana"/>
          <w:b/>
          <w:bCs/>
          <w:i/>
          <w:color w:val="800000"/>
          <w:sz w:val="18"/>
          <w:szCs w:val="18"/>
        </w:rPr>
        <w:t>Una reciente sentencia de la Audiencia Nacional ha entendido que el período de</w:t>
      </w:r>
      <w:r w:rsidR="00555B6B">
        <w:rPr>
          <w:rFonts w:ascii="Verdana" w:hAnsi="Verdana"/>
          <w:b/>
          <w:bCs/>
          <w:i/>
          <w:color w:val="800000"/>
          <w:sz w:val="18"/>
          <w:szCs w:val="18"/>
        </w:rPr>
        <w:t xml:space="preserve"> </w:t>
      </w:r>
      <w:r w:rsidRPr="00020E5D">
        <w:rPr>
          <w:rFonts w:ascii="Verdana" w:hAnsi="Verdana"/>
          <w:b/>
          <w:bCs/>
          <w:i/>
          <w:color w:val="800000"/>
          <w:sz w:val="18"/>
          <w:szCs w:val="18"/>
        </w:rPr>
        <w:t>comprobación de bases negativas, de diez años, opera también a favor del contribuyente</w:t>
      </w:r>
      <w:r w:rsidR="00CA7791">
        <w:rPr>
          <w:rFonts w:ascii="Verdana" w:hAnsi="Verdana"/>
          <w:b/>
          <w:bCs/>
          <w:i/>
          <w:color w:val="800000"/>
          <w:sz w:val="18"/>
          <w:szCs w:val="18"/>
        </w:rPr>
        <w:t>.</w:t>
      </w:r>
    </w:p>
    <w:p w14:paraId="20B2F66E" w14:textId="77777777" w:rsidR="00555B6B" w:rsidRDefault="00555B6B" w:rsidP="00020E5D">
      <w:pPr>
        <w:tabs>
          <w:tab w:val="left" w:pos="284"/>
        </w:tabs>
        <w:ind w:left="284"/>
        <w:jc w:val="both"/>
        <w:rPr>
          <w:rFonts w:ascii="Verdana" w:hAnsi="Verdana"/>
          <w:b/>
          <w:bCs/>
          <w:i/>
          <w:color w:val="800000"/>
          <w:sz w:val="18"/>
          <w:szCs w:val="18"/>
        </w:rPr>
      </w:pPr>
    </w:p>
    <w:p w14:paraId="0CA4A425" w14:textId="11972507" w:rsidR="00555B6B" w:rsidRPr="00555B6B" w:rsidRDefault="00555B6B" w:rsidP="00555B6B">
      <w:pPr>
        <w:pStyle w:val="Prrafodelista"/>
        <w:numPr>
          <w:ilvl w:val="0"/>
          <w:numId w:val="16"/>
        </w:numPr>
        <w:tabs>
          <w:tab w:val="clear" w:pos="1080"/>
          <w:tab w:val="left" w:pos="284"/>
        </w:tabs>
        <w:ind w:left="284" w:hanging="284"/>
        <w:jc w:val="both"/>
        <w:rPr>
          <w:rFonts w:ascii="Verdana" w:hAnsi="Verdana"/>
          <w:b/>
          <w:bCs/>
          <w:i/>
          <w:color w:val="800000"/>
          <w:sz w:val="18"/>
          <w:szCs w:val="18"/>
        </w:rPr>
      </w:pPr>
      <w:r w:rsidRPr="00555B6B">
        <w:rPr>
          <w:rFonts w:ascii="Verdana" w:hAnsi="Verdana"/>
          <w:b/>
          <w:bCs/>
          <w:i/>
          <w:color w:val="800000"/>
          <w:sz w:val="18"/>
          <w:szCs w:val="18"/>
        </w:rPr>
        <w:t>EXENCIÓN EN AJD DE LAS ESCRITURAS DE FORMALIZACIÓN DE LAS MORATORIAS HIPOTECARIAS PARA EL SECTOR TURÍSTICO</w:t>
      </w:r>
    </w:p>
    <w:p w14:paraId="575C3A24" w14:textId="2D6998E7" w:rsidR="00020E5D" w:rsidRDefault="00342FA4" w:rsidP="00914C23">
      <w:pPr>
        <w:tabs>
          <w:tab w:val="left" w:pos="284"/>
        </w:tabs>
        <w:ind w:left="284"/>
        <w:jc w:val="both"/>
        <w:rPr>
          <w:rFonts w:ascii="Verdana" w:hAnsi="Verdana"/>
          <w:b/>
          <w:bCs/>
          <w:i/>
          <w:color w:val="800000"/>
          <w:sz w:val="18"/>
          <w:szCs w:val="18"/>
        </w:rPr>
      </w:pPr>
      <w:r w:rsidRPr="00342FA4">
        <w:rPr>
          <w:rFonts w:ascii="Verdana" w:hAnsi="Verdana"/>
          <w:b/>
          <w:bCs/>
          <w:i/>
          <w:color w:val="800000"/>
          <w:sz w:val="18"/>
          <w:szCs w:val="18"/>
        </w:rPr>
        <w:t>El Real Decreto-ley 25/2020, de 3 de julio (BOE de 6 de julio y en vigor el 7 de julio), de medidas urgentes para apoyar la reactivación económica y el empleo, regula en su Capítulo II relativo a otras medidas de apoyo a la reactivación económica, una moratoria hipotecaria para inmuebles afectos a actividad turística</w:t>
      </w:r>
      <w:r>
        <w:rPr>
          <w:rFonts w:ascii="Verdana" w:hAnsi="Verdana"/>
          <w:b/>
          <w:bCs/>
          <w:i/>
          <w:color w:val="800000"/>
          <w:sz w:val="18"/>
          <w:szCs w:val="18"/>
        </w:rPr>
        <w:t>.</w:t>
      </w:r>
    </w:p>
    <w:p w14:paraId="0AE22648" w14:textId="77777777" w:rsidR="00342FA4" w:rsidRDefault="00342FA4" w:rsidP="00914C23">
      <w:pPr>
        <w:tabs>
          <w:tab w:val="left" w:pos="284"/>
        </w:tabs>
        <w:ind w:left="284"/>
        <w:jc w:val="both"/>
        <w:rPr>
          <w:rFonts w:ascii="Verdana" w:hAnsi="Verdana"/>
          <w:b/>
          <w:bCs/>
          <w:i/>
          <w:color w:val="800000"/>
          <w:sz w:val="18"/>
          <w:szCs w:val="18"/>
        </w:rPr>
      </w:pPr>
    </w:p>
    <w:p w14:paraId="20E360FD" w14:textId="28838107" w:rsidR="00342FA4" w:rsidRPr="00342FA4" w:rsidRDefault="00342FA4" w:rsidP="00342FA4">
      <w:pPr>
        <w:pStyle w:val="Prrafodelista"/>
        <w:numPr>
          <w:ilvl w:val="0"/>
          <w:numId w:val="16"/>
        </w:numPr>
        <w:tabs>
          <w:tab w:val="clear" w:pos="1080"/>
          <w:tab w:val="left" w:pos="284"/>
        </w:tabs>
        <w:ind w:left="284" w:hanging="284"/>
        <w:jc w:val="both"/>
        <w:rPr>
          <w:rFonts w:ascii="Verdana" w:hAnsi="Verdana"/>
          <w:b/>
          <w:bCs/>
          <w:i/>
          <w:color w:val="800000"/>
          <w:sz w:val="18"/>
          <w:szCs w:val="18"/>
        </w:rPr>
      </w:pPr>
      <w:r w:rsidRPr="00342FA4">
        <w:rPr>
          <w:rFonts w:ascii="Verdana" w:hAnsi="Verdana"/>
          <w:b/>
          <w:bCs/>
          <w:i/>
          <w:color w:val="800000"/>
          <w:sz w:val="18"/>
          <w:szCs w:val="18"/>
        </w:rPr>
        <w:t xml:space="preserve">EL </w:t>
      </w:r>
      <w:r w:rsidR="00C05D03">
        <w:rPr>
          <w:rFonts w:ascii="Verdana" w:hAnsi="Verdana"/>
          <w:b/>
          <w:bCs/>
          <w:i/>
          <w:color w:val="800000"/>
          <w:sz w:val="18"/>
          <w:szCs w:val="18"/>
        </w:rPr>
        <w:t>TRIBUNAL SUPREMO</w:t>
      </w:r>
      <w:r w:rsidRPr="00342FA4">
        <w:rPr>
          <w:rFonts w:ascii="Verdana" w:hAnsi="Verdana"/>
          <w:b/>
          <w:bCs/>
          <w:i/>
          <w:color w:val="800000"/>
          <w:sz w:val="18"/>
          <w:szCs w:val="18"/>
        </w:rPr>
        <w:t xml:space="preserve"> RECHAZA QUE LA INSPECCIÓN APLIQUE EL CRITERIO DE LA INSCRIPCIÓN CONTABLE A LOS INGRESOS (ANTICIPADOS) Y EL DEL DEVENGO A LOS GASTOS (CONTABILIZADOS CORRECTAMENTE)</w:t>
      </w:r>
    </w:p>
    <w:p w14:paraId="5B8B5BEA" w14:textId="47E6E58A" w:rsidR="002C34AB" w:rsidRDefault="00342FA4" w:rsidP="00342FA4">
      <w:pPr>
        <w:tabs>
          <w:tab w:val="left" w:pos="284"/>
        </w:tabs>
        <w:ind w:left="284"/>
        <w:jc w:val="both"/>
        <w:rPr>
          <w:rFonts w:ascii="Verdana" w:hAnsi="Verdana"/>
          <w:b/>
          <w:bCs/>
          <w:i/>
          <w:color w:val="800000"/>
          <w:sz w:val="18"/>
          <w:szCs w:val="18"/>
        </w:rPr>
      </w:pPr>
      <w:r>
        <w:rPr>
          <w:rFonts w:ascii="Verdana" w:hAnsi="Verdana"/>
          <w:b/>
          <w:bCs/>
          <w:i/>
          <w:color w:val="800000"/>
          <w:sz w:val="18"/>
          <w:szCs w:val="18"/>
        </w:rPr>
        <w:t xml:space="preserve">El </w:t>
      </w:r>
      <w:r w:rsidRPr="00342FA4">
        <w:rPr>
          <w:rFonts w:ascii="Verdana" w:hAnsi="Verdana"/>
          <w:b/>
          <w:bCs/>
          <w:i/>
          <w:color w:val="800000"/>
          <w:sz w:val="18"/>
          <w:szCs w:val="18"/>
        </w:rPr>
        <w:t xml:space="preserve">Tribunal Supremo, </w:t>
      </w:r>
      <w:r>
        <w:rPr>
          <w:rFonts w:ascii="Verdana" w:hAnsi="Verdana"/>
          <w:b/>
          <w:bCs/>
          <w:i/>
          <w:color w:val="800000"/>
          <w:sz w:val="18"/>
          <w:szCs w:val="18"/>
        </w:rPr>
        <w:t xml:space="preserve">en su sentencia </w:t>
      </w:r>
      <w:r w:rsidRPr="00342FA4">
        <w:rPr>
          <w:rFonts w:ascii="Verdana" w:hAnsi="Verdana"/>
          <w:b/>
          <w:bCs/>
          <w:i/>
          <w:color w:val="800000"/>
          <w:sz w:val="18"/>
          <w:szCs w:val="18"/>
        </w:rPr>
        <w:t>de 17 de junio de 2020, recurso n.º 3687/2017</w:t>
      </w:r>
      <w:r w:rsidR="00C05D03">
        <w:rPr>
          <w:rFonts w:ascii="Verdana" w:hAnsi="Verdana"/>
          <w:b/>
          <w:bCs/>
          <w:i/>
          <w:color w:val="800000"/>
          <w:sz w:val="18"/>
          <w:szCs w:val="18"/>
        </w:rPr>
        <w:t xml:space="preserve"> rechaza que se utilicen criterios distintos en la forma de imputar ingresos y gastos </w:t>
      </w:r>
      <w:r w:rsidR="000F7529">
        <w:rPr>
          <w:rFonts w:ascii="Verdana" w:hAnsi="Verdana"/>
          <w:b/>
          <w:bCs/>
          <w:i/>
          <w:color w:val="800000"/>
          <w:sz w:val="18"/>
          <w:szCs w:val="18"/>
        </w:rPr>
        <w:t>cuando</w:t>
      </w:r>
      <w:r w:rsidR="00C05D03">
        <w:rPr>
          <w:rFonts w:ascii="Verdana" w:hAnsi="Verdana"/>
          <w:b/>
          <w:bCs/>
          <w:i/>
          <w:color w:val="800000"/>
          <w:sz w:val="18"/>
          <w:szCs w:val="18"/>
        </w:rPr>
        <w:t xml:space="preserve"> corresponden a un periodo distinto al del devengo.</w:t>
      </w:r>
    </w:p>
    <w:p w14:paraId="4DC1921E" w14:textId="77777777" w:rsidR="000F7529" w:rsidRDefault="000F7529" w:rsidP="00342FA4">
      <w:pPr>
        <w:tabs>
          <w:tab w:val="left" w:pos="284"/>
        </w:tabs>
        <w:ind w:left="284"/>
        <w:jc w:val="both"/>
        <w:rPr>
          <w:rFonts w:ascii="Verdana" w:hAnsi="Verdana"/>
          <w:b/>
          <w:bCs/>
          <w:i/>
          <w:color w:val="800000"/>
          <w:sz w:val="18"/>
          <w:szCs w:val="18"/>
        </w:rPr>
      </w:pPr>
    </w:p>
    <w:p w14:paraId="160F6E34" w14:textId="2CF991B9" w:rsidR="000F7529" w:rsidRPr="000F7529" w:rsidRDefault="000F7529" w:rsidP="000F7529">
      <w:pPr>
        <w:pStyle w:val="Prrafodelista"/>
        <w:numPr>
          <w:ilvl w:val="0"/>
          <w:numId w:val="16"/>
        </w:numPr>
        <w:tabs>
          <w:tab w:val="clear" w:pos="1080"/>
          <w:tab w:val="num" w:pos="284"/>
        </w:tabs>
        <w:ind w:left="284" w:hanging="284"/>
        <w:jc w:val="both"/>
        <w:rPr>
          <w:rFonts w:ascii="Verdana" w:hAnsi="Verdana"/>
          <w:b/>
          <w:bCs/>
          <w:i/>
          <w:color w:val="800000"/>
          <w:sz w:val="18"/>
          <w:szCs w:val="18"/>
        </w:rPr>
      </w:pPr>
      <w:r w:rsidRPr="000F7529">
        <w:rPr>
          <w:rFonts w:ascii="Verdana" w:hAnsi="Verdana"/>
          <w:b/>
          <w:bCs/>
          <w:i/>
          <w:color w:val="800000"/>
          <w:sz w:val="18"/>
          <w:szCs w:val="18"/>
        </w:rPr>
        <w:t>EL TRIBUNAL SUPREMO ANULA EL ARTÍCULO QUE REGULA LA OBLIGACIÓN DE INFORMAR A HACIENDA SOBRE LA CESIÓN DE USO DE VIVIENDAS CON FINES TURÍSTICOS</w:t>
      </w:r>
    </w:p>
    <w:p w14:paraId="2032169D" w14:textId="7A45109F" w:rsidR="007618D8" w:rsidRDefault="000F7529" w:rsidP="000F7529">
      <w:pPr>
        <w:ind w:left="284"/>
        <w:jc w:val="both"/>
        <w:rPr>
          <w:rFonts w:ascii="Verdana" w:hAnsi="Verdana"/>
          <w:b/>
          <w:bCs/>
          <w:i/>
          <w:iCs/>
          <w:color w:val="800000"/>
          <w:sz w:val="18"/>
          <w:szCs w:val="18"/>
        </w:rPr>
      </w:pPr>
      <w:r w:rsidRPr="000F7529">
        <w:rPr>
          <w:rFonts w:ascii="Verdana" w:hAnsi="Verdana"/>
          <w:b/>
          <w:bCs/>
          <w:i/>
          <w:iCs/>
          <w:color w:val="800000"/>
          <w:sz w:val="18"/>
          <w:szCs w:val="18"/>
        </w:rPr>
        <w:t xml:space="preserve">La Sala aplica la sentencia del caso ‘Airbnb </w:t>
      </w:r>
      <w:proofErr w:type="spellStart"/>
      <w:r w:rsidRPr="000F7529">
        <w:rPr>
          <w:rFonts w:ascii="Verdana" w:hAnsi="Verdana"/>
          <w:b/>
          <w:bCs/>
          <w:i/>
          <w:iCs/>
          <w:color w:val="800000"/>
          <w:sz w:val="18"/>
          <w:szCs w:val="18"/>
        </w:rPr>
        <w:t>Ireland</w:t>
      </w:r>
      <w:proofErr w:type="spellEnd"/>
      <w:r w:rsidRPr="000F7529">
        <w:rPr>
          <w:rFonts w:ascii="Verdana" w:hAnsi="Verdana"/>
          <w:b/>
          <w:bCs/>
          <w:i/>
          <w:iCs/>
          <w:color w:val="800000"/>
          <w:sz w:val="18"/>
          <w:szCs w:val="18"/>
        </w:rPr>
        <w:t>’ del TJUE e invalida la disposición</w:t>
      </w:r>
      <w:r>
        <w:rPr>
          <w:rFonts w:ascii="Verdana" w:hAnsi="Verdana"/>
          <w:b/>
          <w:bCs/>
          <w:i/>
          <w:iCs/>
          <w:color w:val="800000"/>
          <w:sz w:val="18"/>
          <w:szCs w:val="18"/>
        </w:rPr>
        <w:t xml:space="preserve"> </w:t>
      </w:r>
      <w:r w:rsidRPr="000F7529">
        <w:rPr>
          <w:rFonts w:ascii="Verdana" w:hAnsi="Verdana"/>
          <w:b/>
          <w:bCs/>
          <w:i/>
          <w:iCs/>
          <w:color w:val="800000"/>
          <w:sz w:val="18"/>
          <w:szCs w:val="18"/>
        </w:rPr>
        <w:t>española por no haber sido notificada su tramitación a la Comisión Europea</w:t>
      </w:r>
      <w:r>
        <w:rPr>
          <w:rFonts w:ascii="Verdana" w:hAnsi="Verdana"/>
          <w:b/>
          <w:bCs/>
          <w:i/>
          <w:iCs/>
          <w:color w:val="800000"/>
          <w:sz w:val="18"/>
          <w:szCs w:val="18"/>
        </w:rPr>
        <w:t>.</w:t>
      </w:r>
    </w:p>
    <w:p w14:paraId="62C7477E" w14:textId="77777777" w:rsidR="00CE5880" w:rsidRDefault="00CE5880" w:rsidP="000F7529">
      <w:pPr>
        <w:ind w:left="284"/>
        <w:jc w:val="both"/>
        <w:rPr>
          <w:rFonts w:ascii="Verdana" w:hAnsi="Verdana"/>
          <w:b/>
          <w:bCs/>
          <w:i/>
          <w:iCs/>
          <w:color w:val="800000"/>
          <w:sz w:val="18"/>
          <w:szCs w:val="18"/>
        </w:rPr>
      </w:pPr>
    </w:p>
    <w:p w14:paraId="120E9095" w14:textId="73DF6A77" w:rsidR="00CE5880" w:rsidRPr="00CE5880" w:rsidRDefault="00CE5880" w:rsidP="00CE5880">
      <w:pPr>
        <w:pStyle w:val="Prrafodelista"/>
        <w:numPr>
          <w:ilvl w:val="0"/>
          <w:numId w:val="16"/>
        </w:numPr>
        <w:tabs>
          <w:tab w:val="clear" w:pos="1080"/>
          <w:tab w:val="num" w:pos="284"/>
        </w:tabs>
        <w:ind w:left="284" w:hanging="284"/>
        <w:jc w:val="both"/>
        <w:rPr>
          <w:rFonts w:ascii="Verdana" w:hAnsi="Verdana"/>
          <w:b/>
          <w:bCs/>
          <w:i/>
          <w:iCs/>
          <w:color w:val="800000"/>
          <w:sz w:val="18"/>
          <w:szCs w:val="18"/>
        </w:rPr>
      </w:pPr>
      <w:r>
        <w:rPr>
          <w:rFonts w:ascii="Verdana" w:hAnsi="Verdana"/>
          <w:b/>
          <w:bCs/>
          <w:i/>
          <w:iCs/>
          <w:color w:val="800000"/>
          <w:sz w:val="18"/>
          <w:szCs w:val="18"/>
        </w:rPr>
        <w:t xml:space="preserve">CONSULTAS PUBLICADAS POR LA DIRECCIÓN GENERAL DE TRIBUTOS </w:t>
      </w:r>
      <w:r w:rsidR="00A54D7A">
        <w:rPr>
          <w:rFonts w:ascii="Verdana" w:hAnsi="Verdana"/>
          <w:b/>
          <w:bCs/>
          <w:i/>
          <w:iCs/>
          <w:color w:val="800000"/>
          <w:sz w:val="18"/>
          <w:szCs w:val="18"/>
        </w:rPr>
        <w:t>CON RELACIÓN AL</w:t>
      </w:r>
      <w:r>
        <w:rPr>
          <w:rFonts w:ascii="Verdana" w:hAnsi="Verdana"/>
          <w:b/>
          <w:bCs/>
          <w:i/>
          <w:iCs/>
          <w:color w:val="800000"/>
          <w:sz w:val="18"/>
          <w:szCs w:val="18"/>
        </w:rPr>
        <w:t xml:space="preserve"> COVID 19</w:t>
      </w:r>
    </w:p>
    <w:p w14:paraId="3F3BBBFD" w14:textId="0A515D15" w:rsidR="00F548D4" w:rsidRDefault="00320C7C" w:rsidP="006B7DF0">
      <w:pPr>
        <w:ind w:left="284"/>
        <w:jc w:val="both"/>
        <w:rPr>
          <w:rFonts w:ascii="Verdana" w:hAnsi="Verdana"/>
          <w:b/>
          <w:bCs/>
          <w:i/>
          <w:iCs/>
          <w:color w:val="800000"/>
          <w:sz w:val="18"/>
          <w:szCs w:val="18"/>
        </w:rPr>
      </w:pPr>
      <w:r>
        <w:rPr>
          <w:rFonts w:ascii="Verdana" w:hAnsi="Verdana"/>
          <w:b/>
          <w:bCs/>
          <w:i/>
          <w:iCs/>
          <w:color w:val="800000"/>
          <w:sz w:val="18"/>
          <w:szCs w:val="18"/>
        </w:rPr>
        <w:t>La Dirección General de Tributos ha publicado una serie de consultas relacionadas con el COVID 19 de las que hemos efectuado una selección.</w:t>
      </w:r>
    </w:p>
    <w:p w14:paraId="633959A6" w14:textId="77777777" w:rsidR="005B6D50" w:rsidRDefault="005B6D50" w:rsidP="006B7DF0">
      <w:pPr>
        <w:ind w:left="284"/>
        <w:jc w:val="both"/>
        <w:rPr>
          <w:rFonts w:ascii="Verdana" w:hAnsi="Verdana"/>
          <w:b/>
          <w:bCs/>
          <w:i/>
          <w:iCs/>
          <w:color w:val="800000"/>
          <w:sz w:val="18"/>
          <w:szCs w:val="18"/>
        </w:rPr>
      </w:pPr>
    </w:p>
    <w:p w14:paraId="12101A84" w14:textId="1BD4058F" w:rsidR="00CE5880" w:rsidRDefault="003A65F1" w:rsidP="003A65F1">
      <w:pPr>
        <w:pStyle w:val="Prrafodelista"/>
        <w:numPr>
          <w:ilvl w:val="0"/>
          <w:numId w:val="16"/>
        </w:numPr>
        <w:tabs>
          <w:tab w:val="clear" w:pos="1080"/>
          <w:tab w:val="num" w:pos="284"/>
        </w:tabs>
        <w:ind w:left="284" w:hanging="284"/>
        <w:jc w:val="both"/>
        <w:rPr>
          <w:rFonts w:ascii="Verdana" w:hAnsi="Verdana"/>
          <w:b/>
          <w:bCs/>
          <w:i/>
          <w:iCs/>
          <w:color w:val="800000"/>
          <w:sz w:val="18"/>
          <w:szCs w:val="18"/>
        </w:rPr>
      </w:pPr>
      <w:r>
        <w:rPr>
          <w:rFonts w:ascii="Verdana" w:hAnsi="Verdana"/>
          <w:b/>
          <w:bCs/>
          <w:i/>
          <w:iCs/>
          <w:color w:val="800000"/>
          <w:sz w:val="18"/>
          <w:szCs w:val="18"/>
        </w:rPr>
        <w:t xml:space="preserve">MEDIDAS FISCALES QUE SE CONTEMPLAN EN EL </w:t>
      </w:r>
      <w:r w:rsidRPr="003A65F1">
        <w:rPr>
          <w:rFonts w:ascii="Verdana" w:hAnsi="Verdana"/>
          <w:b/>
          <w:bCs/>
          <w:i/>
          <w:iCs/>
          <w:color w:val="800000"/>
          <w:sz w:val="18"/>
          <w:szCs w:val="18"/>
        </w:rPr>
        <w:t>REAL DECRETO-LEY 27/2020, DE 4 DE AGOSTO, DE MEDIDAS FINANCIERAS, DE CARÁCTER EXTRAORDINARIO Y URGENTE, APLICABLES A LAS ENTIDADES PARA COMBATIR LOS EFECTOS DEL COVID-19</w:t>
      </w:r>
    </w:p>
    <w:p w14:paraId="2B7B1528" w14:textId="37FF122D" w:rsidR="003A65F1" w:rsidRDefault="003A65F1" w:rsidP="003A65F1">
      <w:pPr>
        <w:ind w:left="284"/>
        <w:jc w:val="both"/>
        <w:rPr>
          <w:rFonts w:ascii="Verdana" w:hAnsi="Verdana"/>
          <w:b/>
          <w:bCs/>
          <w:i/>
          <w:iCs/>
          <w:color w:val="800000"/>
          <w:sz w:val="18"/>
          <w:szCs w:val="18"/>
        </w:rPr>
      </w:pPr>
      <w:r>
        <w:rPr>
          <w:rFonts w:ascii="Verdana" w:hAnsi="Verdana"/>
          <w:b/>
          <w:bCs/>
          <w:i/>
          <w:iCs/>
          <w:color w:val="800000"/>
          <w:sz w:val="18"/>
          <w:szCs w:val="18"/>
        </w:rPr>
        <w:t xml:space="preserve">Se establecen medidas fiscales que atañen al IVA a tipo cero en </w:t>
      </w:r>
      <w:r w:rsidR="00A54D7A">
        <w:rPr>
          <w:rFonts w:ascii="Verdana" w:hAnsi="Verdana"/>
          <w:b/>
          <w:bCs/>
          <w:i/>
          <w:iCs/>
          <w:color w:val="800000"/>
          <w:sz w:val="18"/>
          <w:szCs w:val="18"/>
        </w:rPr>
        <w:t>las entregas</w:t>
      </w:r>
      <w:r>
        <w:rPr>
          <w:rFonts w:ascii="Verdana" w:hAnsi="Verdana"/>
          <w:b/>
          <w:bCs/>
          <w:i/>
          <w:iCs/>
          <w:color w:val="800000"/>
          <w:sz w:val="18"/>
          <w:szCs w:val="18"/>
        </w:rPr>
        <w:t xml:space="preserve"> de material sanitario, al </w:t>
      </w:r>
      <w:r w:rsidRPr="003A65F1">
        <w:rPr>
          <w:rFonts w:ascii="Verdana" w:hAnsi="Verdana"/>
          <w:b/>
          <w:bCs/>
          <w:i/>
          <w:iCs/>
          <w:color w:val="800000"/>
          <w:sz w:val="18"/>
          <w:szCs w:val="18"/>
        </w:rPr>
        <w:t xml:space="preserve">Régimen fiscal aplicable a la final de la «UEFA </w:t>
      </w:r>
      <w:proofErr w:type="spellStart"/>
      <w:r w:rsidRPr="003A65F1">
        <w:rPr>
          <w:rFonts w:ascii="Verdana" w:hAnsi="Verdana"/>
          <w:b/>
          <w:bCs/>
          <w:i/>
          <w:iCs/>
          <w:color w:val="800000"/>
          <w:sz w:val="18"/>
          <w:szCs w:val="18"/>
        </w:rPr>
        <w:t>Women's</w:t>
      </w:r>
      <w:proofErr w:type="spellEnd"/>
      <w:r w:rsidRPr="003A65F1">
        <w:rPr>
          <w:rFonts w:ascii="Verdana" w:hAnsi="Verdana"/>
          <w:b/>
          <w:bCs/>
          <w:i/>
          <w:iCs/>
          <w:color w:val="800000"/>
          <w:sz w:val="18"/>
          <w:szCs w:val="18"/>
        </w:rPr>
        <w:t xml:space="preserve"> </w:t>
      </w:r>
      <w:r w:rsidRPr="003A65F1">
        <w:rPr>
          <w:rFonts w:ascii="Verdana" w:hAnsi="Verdana"/>
          <w:b/>
          <w:bCs/>
          <w:i/>
          <w:iCs/>
          <w:color w:val="800000"/>
          <w:sz w:val="18"/>
          <w:szCs w:val="18"/>
        </w:rPr>
        <w:lastRenderedPageBreak/>
        <w:t>Champions League 2020»</w:t>
      </w:r>
      <w:r w:rsidR="00A506EF">
        <w:rPr>
          <w:rFonts w:ascii="Verdana" w:hAnsi="Verdana"/>
          <w:b/>
          <w:bCs/>
          <w:i/>
          <w:iCs/>
          <w:color w:val="800000"/>
          <w:sz w:val="18"/>
          <w:szCs w:val="18"/>
        </w:rPr>
        <w:t xml:space="preserve"> y a la e</w:t>
      </w:r>
      <w:r w:rsidR="00A506EF" w:rsidRPr="00A506EF">
        <w:rPr>
          <w:rFonts w:ascii="Verdana" w:hAnsi="Verdana"/>
          <w:b/>
          <w:bCs/>
          <w:i/>
          <w:iCs/>
          <w:color w:val="800000"/>
          <w:sz w:val="18"/>
          <w:szCs w:val="18"/>
        </w:rPr>
        <w:t>xención en AJD de las escrituras de formalización de las moratorias hipotecarias para el sector turístico y para el sector del transporte público de mercancías y discrecional de viajeros en autobús</w:t>
      </w:r>
      <w:r w:rsidR="00A506EF">
        <w:rPr>
          <w:rFonts w:ascii="Verdana" w:hAnsi="Verdana"/>
          <w:b/>
          <w:bCs/>
          <w:i/>
          <w:iCs/>
          <w:color w:val="800000"/>
          <w:sz w:val="18"/>
          <w:szCs w:val="18"/>
        </w:rPr>
        <w:t>.</w:t>
      </w:r>
    </w:p>
    <w:p w14:paraId="13B28553" w14:textId="42B176CD" w:rsidR="00F10544" w:rsidRDefault="00F10544" w:rsidP="003A65F1">
      <w:pPr>
        <w:ind w:left="284"/>
        <w:jc w:val="both"/>
        <w:rPr>
          <w:rFonts w:ascii="Verdana" w:hAnsi="Verdana"/>
          <w:b/>
          <w:bCs/>
          <w:i/>
          <w:iCs/>
          <w:color w:val="800000"/>
          <w:sz w:val="18"/>
          <w:szCs w:val="18"/>
        </w:rPr>
      </w:pPr>
    </w:p>
    <w:p w14:paraId="2D277269" w14:textId="5174F1E8" w:rsidR="00F10544" w:rsidRPr="00F10544" w:rsidRDefault="00F10544" w:rsidP="00F10544">
      <w:pPr>
        <w:pStyle w:val="Prrafodelista"/>
        <w:numPr>
          <w:ilvl w:val="0"/>
          <w:numId w:val="16"/>
        </w:numPr>
        <w:tabs>
          <w:tab w:val="clear" w:pos="1080"/>
          <w:tab w:val="num" w:pos="284"/>
        </w:tabs>
        <w:ind w:left="284" w:hanging="284"/>
        <w:jc w:val="both"/>
        <w:rPr>
          <w:rFonts w:ascii="Verdana" w:hAnsi="Verdana"/>
          <w:b/>
          <w:bCs/>
          <w:i/>
          <w:iCs/>
          <w:color w:val="800000"/>
          <w:sz w:val="18"/>
          <w:szCs w:val="18"/>
        </w:rPr>
      </w:pPr>
      <w:r>
        <w:rPr>
          <w:rFonts w:ascii="Verdana" w:hAnsi="Verdana"/>
          <w:b/>
          <w:bCs/>
          <w:i/>
          <w:iCs/>
          <w:color w:val="800000"/>
          <w:sz w:val="18"/>
          <w:szCs w:val="18"/>
        </w:rPr>
        <w:t>POSPOSICIÓN DE</w:t>
      </w:r>
      <w:r w:rsidRPr="00F10544">
        <w:rPr>
          <w:rFonts w:ascii="Verdana" w:hAnsi="Verdana"/>
          <w:b/>
          <w:bCs/>
          <w:i/>
          <w:iCs/>
          <w:color w:val="800000"/>
          <w:sz w:val="18"/>
          <w:szCs w:val="18"/>
        </w:rPr>
        <w:t xml:space="preserve"> LA ENTRADA EN VIGOR DE DIVERSAS MEDIDAS EN </w:t>
      </w:r>
      <w:r w:rsidR="0048737A">
        <w:rPr>
          <w:rFonts w:ascii="Verdana" w:hAnsi="Verdana"/>
          <w:b/>
          <w:bCs/>
          <w:i/>
          <w:iCs/>
          <w:color w:val="800000"/>
          <w:sz w:val="18"/>
          <w:szCs w:val="18"/>
        </w:rPr>
        <w:t>EL IMPUESTO SOBRE EL VALOR AÑADIDO</w:t>
      </w:r>
      <w:r w:rsidRPr="00F10544">
        <w:rPr>
          <w:rFonts w:ascii="Verdana" w:hAnsi="Verdana"/>
          <w:b/>
          <w:bCs/>
          <w:i/>
          <w:iCs/>
          <w:color w:val="800000"/>
          <w:sz w:val="18"/>
          <w:szCs w:val="18"/>
        </w:rPr>
        <w:t xml:space="preserve"> RELACIONADAS CON EL COMERCIO ELECTRÓNICO TRANSFRONTERIZO</w:t>
      </w:r>
    </w:p>
    <w:p w14:paraId="700FAE6A" w14:textId="7104FB91" w:rsidR="003A65F1" w:rsidRDefault="0048737A" w:rsidP="003A65F1">
      <w:pPr>
        <w:ind w:left="284"/>
        <w:jc w:val="both"/>
        <w:rPr>
          <w:rFonts w:ascii="Verdana" w:hAnsi="Verdana"/>
          <w:b/>
          <w:bCs/>
          <w:i/>
          <w:iCs/>
          <w:color w:val="800000"/>
          <w:sz w:val="18"/>
          <w:szCs w:val="18"/>
        </w:rPr>
      </w:pPr>
      <w:r>
        <w:rPr>
          <w:rFonts w:ascii="Verdana" w:hAnsi="Verdana"/>
          <w:b/>
          <w:bCs/>
          <w:i/>
          <w:iCs/>
          <w:color w:val="800000"/>
          <w:sz w:val="18"/>
          <w:szCs w:val="18"/>
        </w:rPr>
        <w:t xml:space="preserve">Como consecuencia de </w:t>
      </w:r>
      <w:r w:rsidR="00BC4A62">
        <w:rPr>
          <w:rFonts w:ascii="Verdana" w:hAnsi="Verdana"/>
          <w:b/>
          <w:bCs/>
          <w:i/>
          <w:iCs/>
          <w:color w:val="800000"/>
          <w:sz w:val="18"/>
          <w:szCs w:val="18"/>
        </w:rPr>
        <w:t>l</w:t>
      </w:r>
      <w:r w:rsidRPr="0048737A">
        <w:rPr>
          <w:rFonts w:ascii="Verdana" w:hAnsi="Verdana"/>
          <w:b/>
          <w:bCs/>
          <w:i/>
          <w:iCs/>
          <w:color w:val="800000"/>
          <w:sz w:val="18"/>
          <w:szCs w:val="18"/>
        </w:rPr>
        <w:t xml:space="preserve">a pandemia provocada por la COVID-19, </w:t>
      </w:r>
      <w:r>
        <w:rPr>
          <w:rFonts w:ascii="Verdana" w:hAnsi="Verdana"/>
          <w:b/>
          <w:bCs/>
          <w:i/>
          <w:iCs/>
          <w:color w:val="800000"/>
          <w:sz w:val="18"/>
          <w:szCs w:val="18"/>
        </w:rPr>
        <w:t xml:space="preserve">se </w:t>
      </w:r>
      <w:r w:rsidRPr="0048737A">
        <w:rPr>
          <w:rFonts w:ascii="Verdana" w:hAnsi="Verdana"/>
          <w:b/>
          <w:bCs/>
          <w:i/>
          <w:iCs/>
          <w:color w:val="800000"/>
          <w:sz w:val="18"/>
          <w:szCs w:val="18"/>
        </w:rPr>
        <w:t xml:space="preserve">pospone la entrada en vigor de diversas medidas </w:t>
      </w:r>
      <w:r>
        <w:rPr>
          <w:rFonts w:ascii="Verdana" w:hAnsi="Verdana"/>
          <w:b/>
          <w:bCs/>
          <w:i/>
          <w:iCs/>
          <w:color w:val="800000"/>
          <w:sz w:val="18"/>
          <w:szCs w:val="18"/>
        </w:rPr>
        <w:t xml:space="preserve">relacionadas con el </w:t>
      </w:r>
      <w:r w:rsidRPr="0048737A">
        <w:rPr>
          <w:rFonts w:ascii="Verdana" w:hAnsi="Verdana"/>
          <w:b/>
          <w:bCs/>
          <w:i/>
          <w:iCs/>
          <w:color w:val="800000"/>
          <w:sz w:val="18"/>
          <w:szCs w:val="18"/>
        </w:rPr>
        <w:t>comercio electrónico transfronterizo entre empresas y consumidores.</w:t>
      </w:r>
    </w:p>
    <w:p w14:paraId="6B3F0CDF" w14:textId="6CDDBC32" w:rsidR="00F10544" w:rsidRDefault="00F10544" w:rsidP="003A65F1">
      <w:pPr>
        <w:ind w:left="284"/>
        <w:jc w:val="both"/>
        <w:rPr>
          <w:rFonts w:ascii="Verdana" w:hAnsi="Verdana"/>
          <w:b/>
          <w:bCs/>
          <w:i/>
          <w:iCs/>
          <w:color w:val="800000"/>
          <w:sz w:val="18"/>
          <w:szCs w:val="18"/>
        </w:rPr>
      </w:pPr>
    </w:p>
    <w:p w14:paraId="1189CDAB" w14:textId="77777777" w:rsidR="00F10544" w:rsidRDefault="00F10544" w:rsidP="003A65F1">
      <w:pPr>
        <w:ind w:left="284"/>
        <w:jc w:val="both"/>
        <w:rPr>
          <w:rFonts w:ascii="Verdana" w:hAnsi="Verdana"/>
          <w:b/>
          <w:bCs/>
          <w:i/>
          <w:iCs/>
          <w:color w:val="800000"/>
          <w:sz w:val="18"/>
          <w:szCs w:val="18"/>
        </w:rPr>
      </w:pPr>
    </w:p>
    <w:p w14:paraId="1E00C66C" w14:textId="77777777" w:rsidR="003A65F1" w:rsidRPr="003A65F1" w:rsidRDefault="003A65F1" w:rsidP="003A65F1">
      <w:pPr>
        <w:ind w:left="284"/>
        <w:jc w:val="both"/>
        <w:rPr>
          <w:rFonts w:ascii="Verdana" w:hAnsi="Verdana"/>
          <w:b/>
          <w:bCs/>
          <w:i/>
          <w:iCs/>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1103A8" w:rsidRPr="00134FC1" w14:paraId="0AFAC9D5" w14:textId="77777777">
        <w:tc>
          <w:tcPr>
            <w:tcW w:w="180" w:type="dxa"/>
            <w:shd w:val="clear" w:color="auto" w:fill="FF6600"/>
          </w:tcPr>
          <w:p w14:paraId="71A7A0D7" w14:textId="77777777" w:rsidR="001103A8" w:rsidRPr="00134FC1" w:rsidRDefault="001103A8" w:rsidP="00C00EA2">
            <w:pPr>
              <w:rPr>
                <w:rFonts w:ascii="Verdana" w:hAnsi="Verdana"/>
                <w:b/>
                <w:bCs/>
                <w:color w:val="800000"/>
                <w:sz w:val="18"/>
                <w:szCs w:val="18"/>
              </w:rPr>
            </w:pPr>
            <w:bookmarkStart w:id="0" w:name="_Hlk46750036"/>
          </w:p>
        </w:tc>
        <w:tc>
          <w:tcPr>
            <w:tcW w:w="8460" w:type="dxa"/>
          </w:tcPr>
          <w:p w14:paraId="46D24055" w14:textId="3B12F9F4" w:rsidR="001103A8" w:rsidRPr="00134FC1" w:rsidRDefault="005E29D3" w:rsidP="00914C23">
            <w:pPr>
              <w:numPr>
                <w:ilvl w:val="0"/>
                <w:numId w:val="3"/>
              </w:numPr>
              <w:tabs>
                <w:tab w:val="clear" w:pos="720"/>
                <w:tab w:val="num" w:pos="317"/>
              </w:tabs>
              <w:ind w:left="317" w:hanging="283"/>
              <w:jc w:val="both"/>
              <w:rPr>
                <w:rFonts w:ascii="Verdana" w:hAnsi="Verdana"/>
                <w:b/>
                <w:bCs/>
                <w:color w:val="800000"/>
                <w:spacing w:val="-8"/>
                <w:sz w:val="18"/>
                <w:szCs w:val="18"/>
              </w:rPr>
            </w:pPr>
            <w:r>
              <w:rPr>
                <w:rFonts w:ascii="Verdana" w:hAnsi="Verdana"/>
                <w:b/>
                <w:bCs/>
                <w:color w:val="800000"/>
                <w:sz w:val="18"/>
                <w:szCs w:val="18"/>
              </w:rPr>
              <w:t>RETRIBUCIÓN DE LOS ADMINISTRADORES Y CONSEJEROS</w:t>
            </w:r>
            <w:r w:rsidR="00914C23" w:rsidRPr="00134FC1">
              <w:rPr>
                <w:rFonts w:ascii="Verdana" w:hAnsi="Verdana"/>
                <w:b/>
                <w:bCs/>
                <w:color w:val="800000"/>
                <w:sz w:val="18"/>
                <w:szCs w:val="18"/>
              </w:rPr>
              <w:t xml:space="preserve"> </w:t>
            </w:r>
            <w:r w:rsidR="00FF63A3" w:rsidRPr="00134FC1">
              <w:rPr>
                <w:rFonts w:ascii="Verdana" w:hAnsi="Verdana"/>
                <w:b/>
                <w:bCs/>
                <w:color w:val="800000"/>
                <w:sz w:val="18"/>
                <w:szCs w:val="18"/>
              </w:rPr>
              <w:t xml:space="preserve"> </w:t>
            </w:r>
          </w:p>
        </w:tc>
      </w:tr>
      <w:bookmarkEnd w:id="0"/>
    </w:tbl>
    <w:p w14:paraId="521DB8C2" w14:textId="77777777" w:rsidR="002B55F1" w:rsidRDefault="002B55F1">
      <w:pPr>
        <w:tabs>
          <w:tab w:val="left" w:pos="360"/>
        </w:tabs>
        <w:jc w:val="both"/>
        <w:rPr>
          <w:rFonts w:ascii="Verdana" w:hAnsi="Verdana"/>
          <w:b/>
          <w:bCs/>
          <w:i/>
          <w:iCs/>
          <w:color w:val="800000"/>
          <w:sz w:val="18"/>
          <w:szCs w:val="18"/>
        </w:rPr>
      </w:pPr>
    </w:p>
    <w:p w14:paraId="0EE354EF" w14:textId="6A9BAE24" w:rsidR="005E29D3" w:rsidRDefault="005E29D3" w:rsidP="00403AEB">
      <w:pPr>
        <w:tabs>
          <w:tab w:val="left" w:pos="284"/>
        </w:tabs>
        <w:ind w:left="284"/>
        <w:jc w:val="both"/>
        <w:rPr>
          <w:rFonts w:ascii="Verdana" w:hAnsi="Verdana"/>
          <w:sz w:val="18"/>
          <w:szCs w:val="18"/>
        </w:rPr>
      </w:pPr>
      <w:r w:rsidRPr="005E29D3">
        <w:rPr>
          <w:rFonts w:ascii="Verdana" w:hAnsi="Verdana"/>
          <w:sz w:val="18"/>
          <w:szCs w:val="18"/>
        </w:rPr>
        <w:t xml:space="preserve">La previsión incluida en el artículo 15.e) de la LIS facilita la deducibilidad de las retribuciones salariales que, en su caso, puedan percibir los administradores o consejeros de una entidad por el desempeño de funciones </w:t>
      </w:r>
      <w:r w:rsidRPr="004B5BDE">
        <w:rPr>
          <w:rFonts w:ascii="Verdana" w:hAnsi="Verdana"/>
          <w:b/>
          <w:sz w:val="18"/>
          <w:szCs w:val="18"/>
        </w:rPr>
        <w:t>de alta dirección, u otras funciones derivadas de un contrato de carácter laboral ordinario con la entidad</w:t>
      </w:r>
      <w:r w:rsidR="00CA7791">
        <w:rPr>
          <w:rFonts w:ascii="Verdana" w:hAnsi="Verdana"/>
          <w:b/>
          <w:sz w:val="18"/>
          <w:szCs w:val="18"/>
        </w:rPr>
        <w:t>.</w:t>
      </w:r>
      <w:r>
        <w:rPr>
          <w:rFonts w:ascii="Verdana" w:hAnsi="Verdana"/>
          <w:sz w:val="18"/>
          <w:szCs w:val="18"/>
        </w:rPr>
        <w:t xml:space="preserve"> (</w:t>
      </w:r>
      <w:r w:rsidR="00CA7791">
        <w:rPr>
          <w:rFonts w:ascii="Verdana" w:hAnsi="Verdana"/>
          <w:sz w:val="18"/>
          <w:szCs w:val="18"/>
        </w:rPr>
        <w:t>H</w:t>
      </w:r>
      <w:r w:rsidRPr="005E29D3">
        <w:rPr>
          <w:rFonts w:ascii="Verdana" w:hAnsi="Verdana"/>
          <w:sz w:val="18"/>
          <w:szCs w:val="18"/>
        </w:rPr>
        <w:t>asta ese momento, a</w:t>
      </w:r>
      <w:r>
        <w:t xml:space="preserve"> </w:t>
      </w:r>
      <w:r w:rsidRPr="005E29D3">
        <w:rPr>
          <w:rFonts w:ascii="Verdana" w:hAnsi="Verdana"/>
          <w:sz w:val="18"/>
          <w:szCs w:val="18"/>
        </w:rPr>
        <w:t>raíz de la llamada “doctrina del vínculo” –de acuerdo con la cual la relación jurídica de un consejero o administrador con su entidad es sólo mercantil, aunque también asuma funciones ejecutivas de alta dirección, de manera que la relación laboral de alta dirección es absorbida por la primera-, la Administración tributaria había venido rechazando, de manera muy discutible, la deducción de la componente de la retribución del administrador o consejero satisfecha como salario, cuando no hay previsión estatutaria específica</w:t>
      </w:r>
      <w:r>
        <w:t>)</w:t>
      </w:r>
      <w:r w:rsidRPr="005E29D3">
        <w:rPr>
          <w:rFonts w:ascii="Verdana" w:hAnsi="Verdana"/>
          <w:sz w:val="18"/>
          <w:szCs w:val="18"/>
        </w:rPr>
        <w:t xml:space="preserve">. </w:t>
      </w:r>
    </w:p>
    <w:p w14:paraId="6360A628" w14:textId="77777777" w:rsidR="005E29D3" w:rsidRDefault="005E29D3" w:rsidP="00403AEB">
      <w:pPr>
        <w:tabs>
          <w:tab w:val="left" w:pos="284"/>
        </w:tabs>
        <w:ind w:left="284"/>
        <w:jc w:val="both"/>
        <w:rPr>
          <w:rFonts w:ascii="Verdana" w:hAnsi="Verdana"/>
          <w:sz w:val="18"/>
          <w:szCs w:val="18"/>
        </w:rPr>
      </w:pPr>
    </w:p>
    <w:p w14:paraId="03CA1866" w14:textId="380E1BE0" w:rsidR="005E29D3" w:rsidRDefault="005E29D3" w:rsidP="00403AEB">
      <w:pPr>
        <w:tabs>
          <w:tab w:val="left" w:pos="284"/>
        </w:tabs>
        <w:ind w:left="284"/>
        <w:jc w:val="both"/>
        <w:rPr>
          <w:rFonts w:ascii="Verdana" w:hAnsi="Verdana"/>
          <w:sz w:val="18"/>
          <w:szCs w:val="18"/>
        </w:rPr>
      </w:pPr>
      <w:r w:rsidRPr="005E29D3">
        <w:rPr>
          <w:rFonts w:ascii="Verdana" w:hAnsi="Verdana"/>
          <w:sz w:val="18"/>
          <w:szCs w:val="18"/>
        </w:rPr>
        <w:t xml:space="preserve">Se trata de una modificación muy positiva en la medida en que, a efectos de la deducibilidad del gasto en el Impuesto sobre Sociedades, </w:t>
      </w:r>
      <w:r w:rsidRPr="004B5BDE">
        <w:rPr>
          <w:rFonts w:ascii="Verdana" w:hAnsi="Verdana"/>
          <w:b/>
          <w:sz w:val="18"/>
          <w:szCs w:val="18"/>
        </w:rPr>
        <w:t>se distinguen las funciones directivas añadidas que, en su caso, pueden realizar los administradores, de las propias del cargo de administrador, y se da a las primeras un tratamiento fiscal diferenciado, sin hacerlas depender de la previsión estatutaria específica y del acuerdo de junta sí requeridos para la retribución del cargo de administrador</w:t>
      </w:r>
      <w:r w:rsidRPr="005E29D3">
        <w:rPr>
          <w:rFonts w:ascii="Verdana" w:hAnsi="Verdana"/>
          <w:sz w:val="18"/>
          <w:szCs w:val="18"/>
        </w:rPr>
        <w:t xml:space="preserve">. </w:t>
      </w:r>
      <w:r w:rsidR="005F722C">
        <w:rPr>
          <w:rFonts w:ascii="Verdana" w:hAnsi="Verdana"/>
          <w:sz w:val="18"/>
          <w:szCs w:val="18"/>
        </w:rPr>
        <w:t>D</w:t>
      </w:r>
      <w:r w:rsidRPr="005E29D3">
        <w:rPr>
          <w:rFonts w:ascii="Verdana" w:hAnsi="Verdana"/>
          <w:sz w:val="18"/>
          <w:szCs w:val="18"/>
        </w:rPr>
        <w:t xml:space="preserve">esde que se aprobó la nueva LIS la DGT ha venido interpretando en esta línea la previsión a la que nos referimos, considerando deducibles las retribuciones que percibe el administrador único de una sociedad por el ejercicio de funciones de alta dirección distintas a las correspondientes al cargo de administrador, aun cuando dicho cargo sea gratuito según los estatutos (CV 3104-16, de 5 de julio). </w:t>
      </w:r>
    </w:p>
    <w:p w14:paraId="31E4ADE6" w14:textId="77777777" w:rsidR="005E29D3" w:rsidRDefault="005E29D3" w:rsidP="00403AEB">
      <w:pPr>
        <w:tabs>
          <w:tab w:val="left" w:pos="284"/>
        </w:tabs>
        <w:ind w:left="284"/>
        <w:jc w:val="both"/>
        <w:rPr>
          <w:rFonts w:ascii="Verdana" w:hAnsi="Verdana"/>
          <w:sz w:val="18"/>
          <w:szCs w:val="18"/>
        </w:rPr>
      </w:pPr>
    </w:p>
    <w:p w14:paraId="10EE2087" w14:textId="37B1C8E8" w:rsidR="005E29D3" w:rsidRDefault="005E29D3" w:rsidP="00403AEB">
      <w:pPr>
        <w:tabs>
          <w:tab w:val="left" w:pos="284"/>
        </w:tabs>
        <w:ind w:left="284"/>
        <w:jc w:val="both"/>
        <w:rPr>
          <w:rFonts w:ascii="Verdana" w:hAnsi="Verdana"/>
          <w:sz w:val="18"/>
          <w:szCs w:val="18"/>
        </w:rPr>
      </w:pPr>
      <w:r w:rsidRPr="005E29D3">
        <w:rPr>
          <w:rFonts w:ascii="Verdana" w:hAnsi="Verdana"/>
          <w:sz w:val="18"/>
          <w:szCs w:val="18"/>
        </w:rPr>
        <w:t xml:space="preserve">En cualquier caso, y dada la redacción del apartado f) inmediato siguiente del mismo artículo 15 LIS, que establece la no deducibilidad de “los gastos de actuaciones contrarias al ordenamiento jurídico”, </w:t>
      </w:r>
      <w:r w:rsidRPr="004B5BDE">
        <w:rPr>
          <w:rFonts w:ascii="Verdana" w:hAnsi="Verdana"/>
          <w:b/>
          <w:sz w:val="18"/>
          <w:szCs w:val="18"/>
        </w:rPr>
        <w:t>resulta recomendable cumplir con todas las prescripciones mercantiles en materia de retribución a los administradores</w:t>
      </w:r>
      <w:r w:rsidRPr="005E29D3">
        <w:rPr>
          <w:rFonts w:ascii="Verdana" w:hAnsi="Verdana"/>
          <w:sz w:val="18"/>
          <w:szCs w:val="18"/>
        </w:rPr>
        <w:t xml:space="preserve"> -artículos 217 y siguientes de la Ley de Sociedades de Capital, así como el artículo 249 para el caso de consejeros con funciones ejecutivas-, también respecto de las funciones ejecutivas, para evitar interpretaciones alternativas desde la Administración </w:t>
      </w:r>
      <w:r w:rsidR="00CA7791">
        <w:rPr>
          <w:rFonts w:ascii="Verdana" w:hAnsi="Verdana"/>
          <w:sz w:val="18"/>
          <w:szCs w:val="18"/>
        </w:rPr>
        <w:t>T</w:t>
      </w:r>
      <w:r w:rsidRPr="005E29D3">
        <w:rPr>
          <w:rFonts w:ascii="Verdana" w:hAnsi="Verdana"/>
          <w:sz w:val="18"/>
          <w:szCs w:val="18"/>
        </w:rPr>
        <w:t>ributaria. Ésta</w:t>
      </w:r>
      <w:r w:rsidR="00CA7791">
        <w:rPr>
          <w:rFonts w:ascii="Verdana" w:hAnsi="Verdana"/>
          <w:sz w:val="18"/>
          <w:szCs w:val="18"/>
        </w:rPr>
        <w:t>,</w:t>
      </w:r>
      <w:r w:rsidRPr="005E29D3">
        <w:rPr>
          <w:rFonts w:ascii="Verdana" w:hAnsi="Verdana"/>
          <w:sz w:val="18"/>
          <w:szCs w:val="18"/>
        </w:rPr>
        <w:t xml:space="preserve"> sin </w:t>
      </w:r>
      <w:r w:rsidR="001A38EA" w:rsidRPr="005E29D3">
        <w:rPr>
          <w:rFonts w:ascii="Verdana" w:hAnsi="Verdana"/>
          <w:sz w:val="18"/>
          <w:szCs w:val="18"/>
        </w:rPr>
        <w:t>embargo,</w:t>
      </w:r>
      <w:r w:rsidRPr="005E29D3">
        <w:rPr>
          <w:rFonts w:ascii="Verdana" w:hAnsi="Verdana"/>
          <w:sz w:val="18"/>
          <w:szCs w:val="18"/>
        </w:rPr>
        <w:t xml:space="preserve"> entendemos</w:t>
      </w:r>
      <w:r w:rsidR="00CA7791">
        <w:rPr>
          <w:rFonts w:ascii="Verdana" w:hAnsi="Verdana"/>
          <w:sz w:val="18"/>
          <w:szCs w:val="18"/>
        </w:rPr>
        <w:t>,</w:t>
      </w:r>
      <w:r w:rsidRPr="005E29D3">
        <w:rPr>
          <w:rFonts w:ascii="Verdana" w:hAnsi="Verdana"/>
          <w:sz w:val="18"/>
          <w:szCs w:val="18"/>
        </w:rPr>
        <w:t xml:space="preserve"> que quedaría constreñida para realizar tales interpretaciones por diversas resoluciones de la DGT, en sentido favorable al contribuyente. </w:t>
      </w:r>
    </w:p>
    <w:p w14:paraId="520DD578" w14:textId="77777777" w:rsidR="005E29D3" w:rsidRDefault="005E29D3" w:rsidP="00403AEB">
      <w:pPr>
        <w:tabs>
          <w:tab w:val="left" w:pos="284"/>
        </w:tabs>
        <w:ind w:left="284"/>
        <w:jc w:val="both"/>
        <w:rPr>
          <w:rFonts w:ascii="Verdana" w:hAnsi="Verdana"/>
          <w:sz w:val="18"/>
          <w:szCs w:val="18"/>
        </w:rPr>
      </w:pPr>
    </w:p>
    <w:p w14:paraId="1A422D03" w14:textId="7DEB0FF7" w:rsidR="005E29D3" w:rsidRDefault="005E29D3" w:rsidP="00403AEB">
      <w:pPr>
        <w:tabs>
          <w:tab w:val="left" w:pos="284"/>
        </w:tabs>
        <w:ind w:left="284"/>
        <w:jc w:val="both"/>
        <w:rPr>
          <w:rFonts w:ascii="Verdana" w:hAnsi="Verdana"/>
          <w:sz w:val="18"/>
          <w:szCs w:val="18"/>
        </w:rPr>
      </w:pPr>
      <w:r w:rsidRPr="005E29D3">
        <w:rPr>
          <w:rFonts w:ascii="Verdana" w:hAnsi="Verdana"/>
          <w:sz w:val="18"/>
          <w:szCs w:val="18"/>
        </w:rPr>
        <w:t xml:space="preserve">En esa línea, debe recordarse lo dispuesto por el Tribunal Supremo en su sentencia de 26 de febrero de </w:t>
      </w:r>
      <w:r w:rsidR="005F722C" w:rsidRPr="005E29D3">
        <w:rPr>
          <w:rFonts w:ascii="Verdana" w:hAnsi="Verdana"/>
          <w:sz w:val="18"/>
          <w:szCs w:val="18"/>
        </w:rPr>
        <w:t>2018</w:t>
      </w:r>
      <w:r w:rsidR="005F722C">
        <w:rPr>
          <w:rFonts w:ascii="Verdana" w:hAnsi="Verdana"/>
          <w:sz w:val="18"/>
          <w:szCs w:val="18"/>
        </w:rPr>
        <w:t>.</w:t>
      </w:r>
      <w:r w:rsidRPr="005E29D3">
        <w:rPr>
          <w:rFonts w:ascii="Verdana" w:hAnsi="Verdana"/>
          <w:sz w:val="18"/>
          <w:szCs w:val="18"/>
        </w:rPr>
        <w:t xml:space="preserve"> En dicha sentencia, que se refiere a una sociedad no cotizada y que además no fija doctrina, el Alto Tribunal establece la necesidad de que las retribuciones a los consejeros por las funciones ejecutivas que realicen en virtud de cualquier título cumplan los requisitos de reserva estatutaria y aprobación en junta general establecidos </w:t>
      </w:r>
      <w:r w:rsidRPr="005E29D3">
        <w:rPr>
          <w:rFonts w:ascii="Verdana" w:hAnsi="Verdana"/>
          <w:sz w:val="18"/>
          <w:szCs w:val="18"/>
        </w:rPr>
        <w:lastRenderedPageBreak/>
        <w:t xml:space="preserve">en el artículo 217 de la Ley de Sociedades de Capital, además de encontrarse formalizadas en el contrato regulado en el artículo 249 de la misma Ley. </w:t>
      </w:r>
    </w:p>
    <w:p w14:paraId="70429DC2" w14:textId="77777777" w:rsidR="005E29D3" w:rsidRDefault="005E29D3" w:rsidP="00403AEB">
      <w:pPr>
        <w:tabs>
          <w:tab w:val="left" w:pos="284"/>
        </w:tabs>
        <w:ind w:left="284"/>
        <w:jc w:val="both"/>
        <w:rPr>
          <w:rFonts w:ascii="Verdana" w:hAnsi="Verdana"/>
          <w:sz w:val="18"/>
          <w:szCs w:val="18"/>
        </w:rPr>
      </w:pPr>
    </w:p>
    <w:p w14:paraId="2B637A6A" w14:textId="0A954711" w:rsidR="005B6D50" w:rsidRDefault="005E29D3" w:rsidP="00A506EF">
      <w:pPr>
        <w:tabs>
          <w:tab w:val="left" w:pos="284"/>
        </w:tabs>
        <w:ind w:left="284"/>
        <w:jc w:val="both"/>
        <w:rPr>
          <w:rFonts w:ascii="Verdana" w:hAnsi="Verdana"/>
          <w:sz w:val="18"/>
          <w:szCs w:val="18"/>
        </w:rPr>
      </w:pPr>
      <w:r w:rsidRPr="005E29D3">
        <w:rPr>
          <w:rFonts w:ascii="Verdana" w:hAnsi="Verdana"/>
          <w:sz w:val="18"/>
          <w:szCs w:val="18"/>
        </w:rPr>
        <w:t xml:space="preserve">Esta Sentencia suscitó un gran revuelo entre los profesionales de la esfera mercantil, de forma que no tardaron en llegar algunas resoluciones de la Dirección General de Registros y del Notariado, de los meses de octubre y noviembre de 2018 interpretando lo señalado por el Tribunal Supremo. </w:t>
      </w:r>
    </w:p>
    <w:p w14:paraId="211D74F0" w14:textId="77777777" w:rsidR="004B5BDE" w:rsidRDefault="004B5BDE" w:rsidP="00A506EF">
      <w:pPr>
        <w:tabs>
          <w:tab w:val="left" w:pos="284"/>
        </w:tabs>
        <w:ind w:left="284"/>
        <w:jc w:val="both"/>
        <w:rPr>
          <w:rFonts w:ascii="Verdana" w:hAnsi="Verdana"/>
          <w:sz w:val="18"/>
          <w:szCs w:val="18"/>
        </w:rPr>
      </w:pPr>
    </w:p>
    <w:p w14:paraId="021BE106" w14:textId="77777777" w:rsidR="004B5BDE" w:rsidRPr="00A506EF" w:rsidRDefault="004B5BDE" w:rsidP="00A506EF">
      <w:pPr>
        <w:tabs>
          <w:tab w:val="left" w:pos="284"/>
        </w:tabs>
        <w:ind w:left="284"/>
        <w:jc w:val="both"/>
        <w:rPr>
          <w:rFonts w:ascii="Verdana" w:hAnsi="Verdana"/>
          <w:i/>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CD69F5" w:rsidRPr="00E544A5" w14:paraId="54BDE61A" w14:textId="77777777" w:rsidTr="009303AE">
        <w:tc>
          <w:tcPr>
            <w:tcW w:w="180" w:type="dxa"/>
            <w:shd w:val="clear" w:color="auto" w:fill="FF6600"/>
          </w:tcPr>
          <w:p w14:paraId="74E38B59" w14:textId="77777777" w:rsidR="005B6D50" w:rsidRPr="00E544A5" w:rsidRDefault="005B6D50" w:rsidP="00CF6D58">
            <w:pPr>
              <w:rPr>
                <w:rFonts w:ascii="Verdana" w:hAnsi="Verdana"/>
                <w:b/>
                <w:bCs/>
                <w:color w:val="800000"/>
                <w:sz w:val="18"/>
                <w:szCs w:val="18"/>
              </w:rPr>
            </w:pPr>
          </w:p>
        </w:tc>
        <w:tc>
          <w:tcPr>
            <w:tcW w:w="8460" w:type="dxa"/>
          </w:tcPr>
          <w:p w14:paraId="5865CEDD" w14:textId="26527D29" w:rsidR="00CD69F5" w:rsidRPr="00E544A5" w:rsidRDefault="00CF6D58" w:rsidP="00CF6D58">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E544A5">
              <w:rPr>
                <w:rFonts w:ascii="Verdana" w:hAnsi="Verdana"/>
                <w:b/>
                <w:bCs/>
                <w:color w:val="800000"/>
                <w:sz w:val="18"/>
                <w:szCs w:val="18"/>
              </w:rPr>
              <w:t>APROVECHAMIENTO DE LA COMPENSACIÓN DE BASES IMPONIBLES NEGATIVAS DE EJERCICIOS ANTERIORES</w:t>
            </w:r>
            <w:r w:rsidR="00CD69F5" w:rsidRPr="00E544A5">
              <w:rPr>
                <w:rFonts w:ascii="Verdana" w:hAnsi="Verdana"/>
                <w:b/>
                <w:bCs/>
                <w:color w:val="800000"/>
                <w:sz w:val="18"/>
                <w:szCs w:val="18"/>
              </w:rPr>
              <w:t xml:space="preserve">  </w:t>
            </w:r>
          </w:p>
        </w:tc>
      </w:tr>
    </w:tbl>
    <w:p w14:paraId="65A25E2C" w14:textId="77777777" w:rsidR="00456FC8" w:rsidRDefault="00456FC8" w:rsidP="00E622E0">
      <w:pPr>
        <w:pStyle w:val="Sangradetextonormal"/>
        <w:tabs>
          <w:tab w:val="left" w:pos="284"/>
        </w:tabs>
        <w:ind w:left="142"/>
        <w:contextualSpacing/>
        <w:jc w:val="both"/>
        <w:rPr>
          <w:rFonts w:ascii="Verdana" w:hAnsi="Verdana"/>
          <w:i/>
          <w:iCs/>
          <w:color w:val="212121"/>
          <w:spacing w:val="5"/>
          <w:sz w:val="18"/>
          <w:szCs w:val="18"/>
        </w:rPr>
      </w:pPr>
    </w:p>
    <w:p w14:paraId="1B4A5C5B" w14:textId="28553491" w:rsidR="00CF6D58" w:rsidRPr="00E622E0" w:rsidRDefault="00CF6D58" w:rsidP="00403AEB">
      <w:pPr>
        <w:pStyle w:val="Sangradetextonormal"/>
        <w:tabs>
          <w:tab w:val="left" w:pos="284"/>
        </w:tabs>
        <w:ind w:left="284"/>
        <w:contextualSpacing/>
        <w:jc w:val="both"/>
        <w:rPr>
          <w:rFonts w:ascii="Verdana" w:hAnsi="Verdana"/>
          <w:i/>
          <w:iCs/>
          <w:color w:val="212121"/>
          <w:spacing w:val="5"/>
          <w:sz w:val="18"/>
          <w:szCs w:val="18"/>
        </w:rPr>
      </w:pPr>
      <w:r w:rsidRPr="00E622E0">
        <w:rPr>
          <w:rFonts w:ascii="Verdana" w:hAnsi="Verdana"/>
          <w:i/>
          <w:iCs/>
          <w:color w:val="212121"/>
          <w:spacing w:val="5"/>
          <w:sz w:val="18"/>
          <w:szCs w:val="18"/>
        </w:rPr>
        <w:t>Analizamos seguidamente el tratamiento de las bases imponibles negativas y su posible aprovechamiento haciendo un repaso a la normativa que le es aplicable y a la reciente sentencia de la Audiencia Nacional y al criterio del TEAC.</w:t>
      </w:r>
    </w:p>
    <w:p w14:paraId="67CE6747" w14:textId="77777777" w:rsidR="00E622E0" w:rsidRDefault="00E622E0" w:rsidP="00403AEB">
      <w:pPr>
        <w:pStyle w:val="Sangradetextonormal"/>
        <w:tabs>
          <w:tab w:val="left" w:pos="284"/>
        </w:tabs>
        <w:ind w:left="284"/>
        <w:contextualSpacing/>
        <w:jc w:val="both"/>
        <w:rPr>
          <w:rFonts w:ascii="Verdana" w:hAnsi="Verdana"/>
          <w:color w:val="212121"/>
          <w:spacing w:val="5"/>
          <w:sz w:val="18"/>
          <w:szCs w:val="18"/>
        </w:rPr>
      </w:pPr>
    </w:p>
    <w:p w14:paraId="1D3E6A4B" w14:textId="27594C79" w:rsidR="00CF6D58" w:rsidRDefault="00CF6D58" w:rsidP="00403AEB">
      <w:pPr>
        <w:pStyle w:val="Sangradetextonormal"/>
        <w:tabs>
          <w:tab w:val="left" w:pos="284"/>
        </w:tabs>
        <w:ind w:left="284"/>
        <w:contextualSpacing/>
        <w:jc w:val="both"/>
        <w:rPr>
          <w:rFonts w:ascii="Verdana" w:hAnsi="Verdana"/>
          <w:color w:val="212121"/>
          <w:spacing w:val="5"/>
          <w:sz w:val="18"/>
          <w:szCs w:val="18"/>
        </w:rPr>
      </w:pPr>
      <w:r w:rsidRPr="00CF6D58">
        <w:rPr>
          <w:rFonts w:ascii="Verdana" w:hAnsi="Verdana"/>
          <w:color w:val="212121"/>
          <w:spacing w:val="5"/>
          <w:sz w:val="18"/>
          <w:szCs w:val="18"/>
        </w:rPr>
        <w:t>En relación con la compensación de bases imponibles negativas (BINS), recordamos que</w:t>
      </w:r>
      <w:r w:rsidR="00456FC8">
        <w:rPr>
          <w:rFonts w:ascii="Verdana" w:hAnsi="Verdana"/>
          <w:color w:val="212121"/>
          <w:spacing w:val="5"/>
          <w:sz w:val="18"/>
          <w:szCs w:val="18"/>
        </w:rPr>
        <w:t>,</w:t>
      </w:r>
      <w:r w:rsidRPr="00CF6D58">
        <w:rPr>
          <w:rFonts w:ascii="Verdana" w:hAnsi="Verdana"/>
          <w:color w:val="212121"/>
          <w:spacing w:val="5"/>
          <w:sz w:val="18"/>
          <w:szCs w:val="18"/>
        </w:rPr>
        <w:t xml:space="preserve"> </w:t>
      </w:r>
      <w:r w:rsidRPr="002E0F75">
        <w:rPr>
          <w:rFonts w:ascii="Verdana" w:hAnsi="Verdana"/>
          <w:b/>
          <w:bCs/>
          <w:color w:val="212121"/>
          <w:spacing w:val="5"/>
          <w:sz w:val="18"/>
          <w:szCs w:val="18"/>
        </w:rPr>
        <w:t>en general</w:t>
      </w:r>
      <w:r w:rsidR="00456FC8">
        <w:rPr>
          <w:rFonts w:ascii="Verdana" w:hAnsi="Verdana"/>
          <w:b/>
          <w:bCs/>
          <w:color w:val="212121"/>
          <w:spacing w:val="5"/>
          <w:sz w:val="18"/>
          <w:szCs w:val="18"/>
        </w:rPr>
        <w:t>,</w:t>
      </w:r>
      <w:r w:rsidRPr="002E0F75">
        <w:rPr>
          <w:rFonts w:ascii="Verdana" w:hAnsi="Verdana"/>
          <w:b/>
          <w:bCs/>
          <w:color w:val="212121"/>
          <w:spacing w:val="5"/>
          <w:sz w:val="18"/>
          <w:szCs w:val="18"/>
        </w:rPr>
        <w:t xml:space="preserve"> opera el límite del 70% de la base imponible previa a la aplicación de la reserva de capitalización y a la propia compensación de la base imponible negativa, con una tolerancia mínima de hasta un millón de euros</w:t>
      </w:r>
      <w:r w:rsidRPr="00CF6D58">
        <w:rPr>
          <w:rFonts w:ascii="Verdana" w:hAnsi="Verdana"/>
          <w:color w:val="212121"/>
          <w:spacing w:val="5"/>
          <w:sz w:val="18"/>
          <w:szCs w:val="18"/>
        </w:rPr>
        <w:t xml:space="preserve">. Sin embargo, las entidades cuyo importe neto anual de la cifra de negocios sea al menos de 20 millones de euros no pueden minorar su base positiva en más del 50% de ésta; si aquel importe es al menos de 60 millones de euros, el porcentaje limitativo es del 25%. Entre otras reglas especiales añadidas que se comentan </w:t>
      </w:r>
      <w:r>
        <w:rPr>
          <w:rFonts w:ascii="Verdana" w:hAnsi="Verdana"/>
          <w:color w:val="212121"/>
          <w:spacing w:val="5"/>
          <w:sz w:val="18"/>
          <w:szCs w:val="18"/>
        </w:rPr>
        <w:t>en este apartado de los Apuntes</w:t>
      </w:r>
      <w:r w:rsidRPr="00CF6D58">
        <w:rPr>
          <w:rFonts w:ascii="Verdana" w:hAnsi="Verdana"/>
          <w:color w:val="212121"/>
          <w:spacing w:val="5"/>
          <w:sz w:val="18"/>
          <w:szCs w:val="18"/>
        </w:rPr>
        <w:t xml:space="preserve">, la limitación no resulta de aplicación en el importe de las rentas positivas correspondientes a quitas o esperas consecuencia de un acuerdo con los acreedores del contribuyente. </w:t>
      </w:r>
    </w:p>
    <w:p w14:paraId="4F3FC375" w14:textId="77777777" w:rsidR="00E622E0" w:rsidRDefault="00E622E0" w:rsidP="00403AEB">
      <w:pPr>
        <w:pStyle w:val="Sangradetextonormal"/>
        <w:tabs>
          <w:tab w:val="left" w:pos="284"/>
        </w:tabs>
        <w:ind w:left="284"/>
        <w:contextualSpacing/>
        <w:jc w:val="both"/>
        <w:rPr>
          <w:rFonts w:ascii="Verdana" w:hAnsi="Verdana"/>
          <w:color w:val="212121"/>
          <w:spacing w:val="5"/>
          <w:sz w:val="18"/>
          <w:szCs w:val="18"/>
        </w:rPr>
      </w:pPr>
    </w:p>
    <w:p w14:paraId="0F6642A8" w14:textId="1335FD06" w:rsidR="00CF6D58" w:rsidRDefault="00CF6D58" w:rsidP="00403AEB">
      <w:pPr>
        <w:pStyle w:val="Sangradetextonormal"/>
        <w:tabs>
          <w:tab w:val="left" w:pos="284"/>
        </w:tabs>
        <w:ind w:left="284"/>
        <w:contextualSpacing/>
        <w:jc w:val="both"/>
        <w:rPr>
          <w:rFonts w:ascii="Verdana" w:hAnsi="Verdana"/>
          <w:color w:val="212121"/>
          <w:spacing w:val="5"/>
          <w:sz w:val="18"/>
          <w:szCs w:val="18"/>
        </w:rPr>
      </w:pPr>
      <w:r w:rsidRPr="00CF6D58">
        <w:rPr>
          <w:rFonts w:ascii="Verdana" w:hAnsi="Verdana"/>
          <w:color w:val="212121"/>
          <w:spacing w:val="5"/>
          <w:sz w:val="18"/>
          <w:szCs w:val="18"/>
        </w:rPr>
        <w:t xml:space="preserve">Una reciente sentencia de la Audiencia Nacional ha entendido que el período de comprobación de bases negativas, de diez años, opera también a favor del contribuyente. </w:t>
      </w:r>
    </w:p>
    <w:p w14:paraId="1938850E" w14:textId="77777777" w:rsidR="00E622E0" w:rsidRDefault="00E622E0" w:rsidP="00403AEB">
      <w:pPr>
        <w:pStyle w:val="Sangradetextonormal"/>
        <w:tabs>
          <w:tab w:val="left" w:pos="284"/>
        </w:tabs>
        <w:ind w:left="284"/>
        <w:contextualSpacing/>
        <w:jc w:val="both"/>
        <w:rPr>
          <w:rFonts w:ascii="Verdana" w:hAnsi="Verdana"/>
          <w:color w:val="212121"/>
          <w:spacing w:val="5"/>
          <w:sz w:val="18"/>
          <w:szCs w:val="18"/>
        </w:rPr>
      </w:pPr>
    </w:p>
    <w:p w14:paraId="73EAD43E" w14:textId="5C3A3AC4" w:rsidR="00CF6D58" w:rsidRDefault="00CF6D58" w:rsidP="00403AEB">
      <w:pPr>
        <w:pStyle w:val="Sangradetextonormal"/>
        <w:tabs>
          <w:tab w:val="left" w:pos="284"/>
        </w:tabs>
        <w:ind w:left="284"/>
        <w:contextualSpacing/>
        <w:jc w:val="both"/>
        <w:rPr>
          <w:rFonts w:ascii="Verdana" w:hAnsi="Verdana"/>
          <w:color w:val="212121"/>
          <w:spacing w:val="5"/>
          <w:sz w:val="18"/>
          <w:szCs w:val="18"/>
        </w:rPr>
      </w:pPr>
      <w:r w:rsidRPr="00CF6D58">
        <w:rPr>
          <w:rFonts w:ascii="Verdana" w:hAnsi="Verdana"/>
          <w:color w:val="212121"/>
          <w:spacing w:val="5"/>
          <w:sz w:val="18"/>
          <w:szCs w:val="18"/>
        </w:rPr>
        <w:t xml:space="preserve">Y recordamos, por otra parte, el criterio del TEAC según el cual la compensación de BINS constituye una opción del contribuyente con arreglo al artículo 119.3 de la Ley General Tributaria, que se ejercita con la presentación en plazo de la declaración. </w:t>
      </w:r>
    </w:p>
    <w:p w14:paraId="28ACBF9D" w14:textId="77777777" w:rsidR="00CF6D58" w:rsidRDefault="00CF6D58" w:rsidP="00403AEB">
      <w:pPr>
        <w:pStyle w:val="Sangradetextonormal"/>
        <w:ind w:left="284"/>
        <w:contextualSpacing/>
        <w:jc w:val="both"/>
        <w:rPr>
          <w:rFonts w:ascii="Verdana" w:hAnsi="Verdana"/>
          <w:color w:val="212121"/>
          <w:spacing w:val="5"/>
          <w:sz w:val="18"/>
          <w:szCs w:val="18"/>
        </w:rPr>
      </w:pPr>
    </w:p>
    <w:p w14:paraId="775DA78D" w14:textId="77777777"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875FE6">
        <w:rPr>
          <w:rFonts w:ascii="Verdana" w:hAnsi="Verdana"/>
          <w:b/>
          <w:bCs/>
          <w:color w:val="833C0B" w:themeColor="accent2" w:themeShade="80"/>
          <w:spacing w:val="5"/>
          <w:sz w:val="18"/>
          <w:szCs w:val="18"/>
        </w:rPr>
        <w:t>Restricciones a la compensación de bases negativas</w:t>
      </w:r>
      <w:r w:rsidRPr="00020E5D">
        <w:rPr>
          <w:rFonts w:ascii="Verdana" w:hAnsi="Verdana"/>
          <w:color w:val="212121"/>
          <w:spacing w:val="5"/>
          <w:sz w:val="18"/>
          <w:szCs w:val="18"/>
        </w:rPr>
        <w:t xml:space="preserve">. La Ley 27/2014, del Impuesto sobre Sociedades (IS en adelante) establece en su artículo 26 un límite a la compensación de bases imponibles negativas (BINS en adelante), del </w:t>
      </w:r>
      <w:r w:rsidRPr="002E0F75">
        <w:rPr>
          <w:rFonts w:ascii="Verdana" w:hAnsi="Verdana"/>
          <w:b/>
          <w:bCs/>
          <w:color w:val="212121"/>
          <w:spacing w:val="5"/>
          <w:sz w:val="18"/>
          <w:szCs w:val="18"/>
        </w:rPr>
        <w:t>70% de la base imponible</w:t>
      </w:r>
      <w:r w:rsidRPr="00020E5D">
        <w:rPr>
          <w:rFonts w:ascii="Verdana" w:hAnsi="Verdana"/>
          <w:color w:val="212121"/>
          <w:spacing w:val="5"/>
          <w:sz w:val="18"/>
          <w:szCs w:val="18"/>
        </w:rPr>
        <w:t xml:space="preserve"> previa a la aplicación de la reserva de capitalización y a la propia compensación de la base imponible negativa, si bien en todo caso hay </w:t>
      </w:r>
      <w:r w:rsidRPr="002E0F75">
        <w:rPr>
          <w:rFonts w:ascii="Verdana" w:hAnsi="Verdana"/>
          <w:b/>
          <w:bCs/>
          <w:color w:val="212121"/>
          <w:spacing w:val="5"/>
          <w:sz w:val="18"/>
          <w:szCs w:val="18"/>
        </w:rPr>
        <w:t>un límite mínimo de compensación de un millón de euros</w:t>
      </w:r>
      <w:r w:rsidRPr="00020E5D">
        <w:rPr>
          <w:rFonts w:ascii="Verdana" w:hAnsi="Verdana"/>
          <w:color w:val="212121"/>
          <w:spacing w:val="5"/>
          <w:sz w:val="18"/>
          <w:szCs w:val="18"/>
        </w:rPr>
        <w:t xml:space="preserve"> -este límite se prorratea a la baja si el período impositivo tiene duración inferior a un año-. </w:t>
      </w:r>
    </w:p>
    <w:p w14:paraId="79F7C8E6" w14:textId="77777777" w:rsidR="00123D1D" w:rsidRDefault="00123D1D" w:rsidP="00403AEB">
      <w:pPr>
        <w:pStyle w:val="Sangradetextonormal"/>
        <w:tabs>
          <w:tab w:val="left" w:pos="142"/>
        </w:tabs>
        <w:ind w:left="284"/>
        <w:contextualSpacing/>
        <w:jc w:val="both"/>
        <w:rPr>
          <w:rFonts w:ascii="Verdana" w:hAnsi="Verdana"/>
          <w:color w:val="212121"/>
          <w:spacing w:val="5"/>
          <w:sz w:val="18"/>
          <w:szCs w:val="18"/>
        </w:rPr>
      </w:pPr>
    </w:p>
    <w:p w14:paraId="72B336DF" w14:textId="5278D575"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Siendo esa la regla general, </w:t>
      </w:r>
      <w:r w:rsidRPr="002E0F75">
        <w:rPr>
          <w:rFonts w:ascii="Verdana" w:hAnsi="Verdana"/>
          <w:b/>
          <w:bCs/>
          <w:color w:val="212121"/>
          <w:spacing w:val="5"/>
          <w:sz w:val="18"/>
          <w:szCs w:val="18"/>
        </w:rPr>
        <w:t>el Real Decreto-ley 3/2016 estableció límites más exigentes de compensación ya desde 2016</w:t>
      </w:r>
      <w:r w:rsidRPr="00020E5D">
        <w:rPr>
          <w:rFonts w:ascii="Verdana" w:hAnsi="Verdana"/>
          <w:color w:val="212121"/>
          <w:spacing w:val="5"/>
          <w:sz w:val="18"/>
          <w:szCs w:val="18"/>
        </w:rPr>
        <w:t xml:space="preserve">, de manera que también para </w:t>
      </w:r>
      <w:r w:rsidR="00753E93">
        <w:rPr>
          <w:rFonts w:ascii="Verdana" w:hAnsi="Verdana"/>
          <w:color w:val="212121"/>
          <w:spacing w:val="5"/>
          <w:sz w:val="18"/>
          <w:szCs w:val="18"/>
        </w:rPr>
        <w:t>2020</w:t>
      </w:r>
      <w:r w:rsidRPr="00020E5D">
        <w:rPr>
          <w:rFonts w:ascii="Verdana" w:hAnsi="Verdana"/>
          <w:color w:val="212121"/>
          <w:spacing w:val="5"/>
          <w:sz w:val="18"/>
          <w:szCs w:val="18"/>
        </w:rPr>
        <w:t xml:space="preserve"> las </w:t>
      </w:r>
      <w:r w:rsidRPr="002E0F75">
        <w:rPr>
          <w:rFonts w:ascii="Verdana" w:hAnsi="Verdana"/>
          <w:b/>
          <w:bCs/>
          <w:color w:val="212121"/>
          <w:spacing w:val="5"/>
          <w:sz w:val="18"/>
          <w:szCs w:val="18"/>
        </w:rPr>
        <w:t>entidades cuyo importe neto de la cifra de negocios sea al menos de 20 millones de euros</w:t>
      </w:r>
      <w:r w:rsidRPr="00020E5D">
        <w:rPr>
          <w:rFonts w:ascii="Verdana" w:hAnsi="Verdana"/>
          <w:color w:val="212121"/>
          <w:spacing w:val="5"/>
          <w:sz w:val="18"/>
          <w:szCs w:val="18"/>
        </w:rPr>
        <w:t xml:space="preserve"> durante los 12 meses anteriores a la fecha en que se inicie el período impositivo, no podrán minorar su base positiva en más del </w:t>
      </w:r>
      <w:r w:rsidRPr="002E0F75">
        <w:rPr>
          <w:rFonts w:ascii="Verdana" w:hAnsi="Verdana"/>
          <w:b/>
          <w:bCs/>
          <w:color w:val="212121"/>
          <w:spacing w:val="5"/>
          <w:sz w:val="18"/>
          <w:szCs w:val="18"/>
        </w:rPr>
        <w:t>50%</w:t>
      </w:r>
      <w:r w:rsidRPr="00020E5D">
        <w:rPr>
          <w:rFonts w:ascii="Verdana" w:hAnsi="Verdana"/>
          <w:color w:val="212121"/>
          <w:spacing w:val="5"/>
          <w:sz w:val="18"/>
          <w:szCs w:val="18"/>
        </w:rPr>
        <w:t xml:space="preserve"> de ésta; si aquel importe neto es al menos de 60 millones de euros, el porcentaje limitativo es del </w:t>
      </w:r>
      <w:r w:rsidRPr="002E0F75">
        <w:rPr>
          <w:rFonts w:ascii="Verdana" w:hAnsi="Verdana"/>
          <w:b/>
          <w:bCs/>
          <w:color w:val="212121"/>
          <w:spacing w:val="5"/>
          <w:sz w:val="18"/>
          <w:szCs w:val="18"/>
        </w:rPr>
        <w:t>25%</w:t>
      </w:r>
      <w:r w:rsidRPr="00020E5D">
        <w:rPr>
          <w:rFonts w:ascii="Verdana" w:hAnsi="Verdana"/>
          <w:color w:val="212121"/>
          <w:spacing w:val="5"/>
          <w:sz w:val="18"/>
          <w:szCs w:val="18"/>
        </w:rPr>
        <w:t xml:space="preserve">. También en estos casos cabe compensar bases negativas por un mínimo de hasta un millón de euros por período impositivo. </w:t>
      </w:r>
    </w:p>
    <w:p w14:paraId="6D92FE99" w14:textId="77777777" w:rsidR="00E622E0" w:rsidRDefault="00E622E0" w:rsidP="00403AEB">
      <w:pPr>
        <w:pStyle w:val="Sangradetextonormal"/>
        <w:tabs>
          <w:tab w:val="left" w:pos="142"/>
        </w:tabs>
        <w:ind w:left="284"/>
        <w:contextualSpacing/>
        <w:jc w:val="both"/>
        <w:rPr>
          <w:rFonts w:ascii="Verdana" w:hAnsi="Verdana"/>
          <w:color w:val="212121"/>
          <w:spacing w:val="5"/>
          <w:sz w:val="18"/>
          <w:szCs w:val="18"/>
        </w:rPr>
      </w:pPr>
    </w:p>
    <w:p w14:paraId="0458873F" w14:textId="45C8759C"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2E0F75">
        <w:rPr>
          <w:rFonts w:ascii="Verdana" w:hAnsi="Verdana"/>
          <w:b/>
          <w:bCs/>
          <w:color w:val="212121"/>
          <w:spacing w:val="5"/>
          <w:sz w:val="18"/>
          <w:szCs w:val="18"/>
        </w:rPr>
        <w:lastRenderedPageBreak/>
        <w:t>La limitación a la compensación no resulta de aplicación</w:t>
      </w:r>
      <w:r w:rsidRPr="00020E5D">
        <w:rPr>
          <w:rFonts w:ascii="Verdana" w:hAnsi="Verdana"/>
          <w:color w:val="212121"/>
          <w:spacing w:val="5"/>
          <w:sz w:val="18"/>
          <w:szCs w:val="18"/>
        </w:rPr>
        <w:t xml:space="preserve"> en el importe de las rentas positivas correspondientes a </w:t>
      </w:r>
      <w:r w:rsidRPr="002E0F75">
        <w:rPr>
          <w:rFonts w:ascii="Verdana" w:hAnsi="Verdana"/>
          <w:b/>
          <w:bCs/>
          <w:color w:val="212121"/>
          <w:spacing w:val="5"/>
          <w:sz w:val="18"/>
          <w:szCs w:val="18"/>
        </w:rPr>
        <w:t>quitas o esperas</w:t>
      </w:r>
      <w:r w:rsidRPr="00020E5D">
        <w:rPr>
          <w:rFonts w:ascii="Verdana" w:hAnsi="Verdana"/>
          <w:color w:val="212121"/>
          <w:spacing w:val="5"/>
          <w:sz w:val="18"/>
          <w:szCs w:val="18"/>
        </w:rPr>
        <w:t xml:space="preserve"> consecuencia de un acuerdo con los acreedores del contribuyente; en tal caso las BINS objeto de compensación no consumen límite del millón de euros. Tampoco se aplican límites en el período impositivo en que pueda producirse </w:t>
      </w:r>
      <w:r w:rsidRPr="002E0F75">
        <w:rPr>
          <w:rFonts w:ascii="Verdana" w:hAnsi="Verdana"/>
          <w:b/>
          <w:bCs/>
          <w:color w:val="212121"/>
          <w:spacing w:val="5"/>
          <w:sz w:val="18"/>
          <w:szCs w:val="18"/>
        </w:rPr>
        <w:t>la extinción</w:t>
      </w:r>
      <w:r w:rsidRPr="00020E5D">
        <w:rPr>
          <w:rFonts w:ascii="Verdana" w:hAnsi="Verdana"/>
          <w:color w:val="212121"/>
          <w:spacing w:val="5"/>
          <w:sz w:val="18"/>
          <w:szCs w:val="18"/>
        </w:rPr>
        <w:t xml:space="preserve"> de la entidad, salvo que sea consecuencia de una operación de reestructuración empresarial en régimen fiscal especial; si la extinción viene precedida de la </w:t>
      </w:r>
      <w:r w:rsidRPr="002E0F75">
        <w:rPr>
          <w:rFonts w:ascii="Verdana" w:hAnsi="Verdana"/>
          <w:b/>
          <w:bCs/>
          <w:color w:val="212121"/>
          <w:spacing w:val="5"/>
          <w:sz w:val="18"/>
          <w:szCs w:val="18"/>
        </w:rPr>
        <w:t>liquidación concursal</w:t>
      </w:r>
      <w:r w:rsidRPr="00020E5D">
        <w:rPr>
          <w:rFonts w:ascii="Verdana" w:hAnsi="Verdana"/>
          <w:color w:val="212121"/>
          <w:spacing w:val="5"/>
          <w:sz w:val="18"/>
          <w:szCs w:val="18"/>
        </w:rPr>
        <w:t xml:space="preserve"> de la entidad, el límite de compensación de BINS tampoco opera en el período impositivo correspondiente a la liquidación, aunque sea distinto (anterior) al de extinción formal (resoluciones de la DGT V3158 -15, de 20 de octubre, y V2466-16, de 7 de junio). Asimismo, el límite no se aplica en el caso de </w:t>
      </w:r>
      <w:r w:rsidRPr="002E0F75">
        <w:rPr>
          <w:rFonts w:ascii="Verdana" w:hAnsi="Verdana"/>
          <w:b/>
          <w:bCs/>
          <w:color w:val="212121"/>
          <w:spacing w:val="5"/>
          <w:sz w:val="18"/>
          <w:szCs w:val="18"/>
        </w:rPr>
        <w:t>entidades de nueva creación</w:t>
      </w:r>
      <w:r w:rsidRPr="00020E5D">
        <w:rPr>
          <w:rFonts w:ascii="Verdana" w:hAnsi="Verdana"/>
          <w:color w:val="212121"/>
          <w:spacing w:val="5"/>
          <w:sz w:val="18"/>
          <w:szCs w:val="18"/>
        </w:rPr>
        <w:t xml:space="preserve">, en los tres primeros períodos impositivos en que se genere una base imponible positiva previa a su compensación. Finalmente, si la sociedad mantiene BINS anteriores a 2013 pendientes de compensar, y los deterioros de cartera supusieron más del 90% de los gastos deducibles en los períodos correspondientes, no se aplica límite de compensación respecto de la </w:t>
      </w:r>
      <w:r w:rsidRPr="002E0F75">
        <w:rPr>
          <w:rFonts w:ascii="Verdana" w:hAnsi="Verdana"/>
          <w:b/>
          <w:bCs/>
          <w:color w:val="212121"/>
          <w:spacing w:val="5"/>
          <w:sz w:val="18"/>
          <w:szCs w:val="18"/>
        </w:rPr>
        <w:t>reversión de dichos deterioros</w:t>
      </w:r>
      <w:r w:rsidRPr="00020E5D">
        <w:rPr>
          <w:rFonts w:ascii="Verdana" w:hAnsi="Verdana"/>
          <w:color w:val="212121"/>
          <w:spacing w:val="5"/>
          <w:sz w:val="18"/>
          <w:szCs w:val="18"/>
        </w:rPr>
        <w:t xml:space="preserve">. </w:t>
      </w:r>
    </w:p>
    <w:p w14:paraId="3B909E9A" w14:textId="77777777" w:rsidR="00123D1D" w:rsidRPr="00875FE6" w:rsidRDefault="00123D1D" w:rsidP="00403AEB">
      <w:pPr>
        <w:pStyle w:val="Sangradetextonormal"/>
        <w:tabs>
          <w:tab w:val="left" w:pos="142"/>
        </w:tabs>
        <w:ind w:left="284"/>
        <w:contextualSpacing/>
        <w:jc w:val="both"/>
        <w:rPr>
          <w:rFonts w:ascii="Verdana" w:hAnsi="Verdana"/>
          <w:b/>
          <w:bCs/>
          <w:color w:val="833C0B" w:themeColor="accent2" w:themeShade="80"/>
          <w:spacing w:val="5"/>
          <w:sz w:val="18"/>
          <w:szCs w:val="18"/>
        </w:rPr>
      </w:pPr>
    </w:p>
    <w:p w14:paraId="23F27138" w14:textId="3654A8DB" w:rsidR="002E0F75" w:rsidRPr="00875FE6" w:rsidRDefault="00020E5D" w:rsidP="00403AEB">
      <w:pPr>
        <w:pStyle w:val="Sangradetextonormal"/>
        <w:tabs>
          <w:tab w:val="left" w:pos="142"/>
        </w:tabs>
        <w:ind w:left="284"/>
        <w:contextualSpacing/>
        <w:jc w:val="both"/>
        <w:rPr>
          <w:rFonts w:ascii="Verdana" w:hAnsi="Verdana"/>
          <w:b/>
          <w:bCs/>
          <w:color w:val="833C0B" w:themeColor="accent2" w:themeShade="80"/>
          <w:spacing w:val="5"/>
          <w:sz w:val="18"/>
          <w:szCs w:val="18"/>
        </w:rPr>
      </w:pPr>
      <w:r w:rsidRPr="00875FE6">
        <w:rPr>
          <w:rFonts w:ascii="Verdana" w:hAnsi="Verdana"/>
          <w:b/>
          <w:bCs/>
          <w:color w:val="833C0B" w:themeColor="accent2" w:themeShade="80"/>
          <w:spacing w:val="5"/>
          <w:sz w:val="18"/>
          <w:szCs w:val="18"/>
        </w:rPr>
        <w:t xml:space="preserve">Acreditación de bases imponibles negativas y plazo de comprobación </w:t>
      </w:r>
    </w:p>
    <w:p w14:paraId="3C78126E" w14:textId="20385E83"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La Administración puede comprobar las BINS en los </w:t>
      </w:r>
      <w:r w:rsidRPr="002E0F75">
        <w:rPr>
          <w:rFonts w:ascii="Verdana" w:hAnsi="Verdana"/>
          <w:b/>
          <w:bCs/>
          <w:color w:val="212121"/>
          <w:spacing w:val="5"/>
          <w:sz w:val="18"/>
          <w:szCs w:val="18"/>
        </w:rPr>
        <w:t>diez años</w:t>
      </w:r>
      <w:r w:rsidRPr="00020E5D">
        <w:rPr>
          <w:rFonts w:ascii="Verdana" w:hAnsi="Verdana"/>
          <w:color w:val="212121"/>
          <w:spacing w:val="5"/>
          <w:sz w:val="18"/>
          <w:szCs w:val="18"/>
        </w:rPr>
        <w:t xml:space="preserve"> siguientes al final del periodo voluntario de presentación de la autoliquidación del ejercicio en el que se generaron. Transcurrido ese plazo, para acreditar la procedencia y cuantía de las bases negativas, solo es necesario exhibir la autoliquidación del ejercicio en el que se generaron y la correspondiente contabilidad, con acreditación del depósito de las Cuenta Anuales en el Registro Mercantil. </w:t>
      </w:r>
    </w:p>
    <w:p w14:paraId="2D8E7A78" w14:textId="77777777" w:rsidR="002E0F75" w:rsidRDefault="002E0F75" w:rsidP="00403AEB">
      <w:pPr>
        <w:pStyle w:val="Sangradetextonormal"/>
        <w:tabs>
          <w:tab w:val="left" w:pos="142"/>
        </w:tabs>
        <w:ind w:left="284"/>
        <w:contextualSpacing/>
        <w:jc w:val="both"/>
        <w:rPr>
          <w:rFonts w:ascii="Verdana" w:hAnsi="Verdana"/>
          <w:color w:val="212121"/>
          <w:spacing w:val="5"/>
          <w:sz w:val="18"/>
          <w:szCs w:val="18"/>
        </w:rPr>
      </w:pPr>
    </w:p>
    <w:p w14:paraId="78BAC104" w14:textId="14123AAC" w:rsidR="00123D1D" w:rsidRDefault="00020E5D" w:rsidP="00403AEB">
      <w:pPr>
        <w:pStyle w:val="Sangradetextonormal"/>
        <w:tabs>
          <w:tab w:val="left" w:pos="142"/>
        </w:tabs>
        <w:ind w:left="284"/>
        <w:jc w:val="both"/>
        <w:rPr>
          <w:rFonts w:ascii="Verdana" w:hAnsi="Verdana"/>
          <w:color w:val="212121"/>
          <w:spacing w:val="5"/>
          <w:sz w:val="18"/>
          <w:szCs w:val="18"/>
        </w:rPr>
      </w:pPr>
      <w:r w:rsidRPr="00020E5D">
        <w:rPr>
          <w:rFonts w:ascii="Verdana" w:hAnsi="Verdana"/>
          <w:color w:val="212121"/>
          <w:spacing w:val="5"/>
          <w:sz w:val="18"/>
          <w:szCs w:val="18"/>
        </w:rPr>
        <w:t xml:space="preserve">Pues bien, la reciente </w:t>
      </w:r>
      <w:r w:rsidRPr="002E0F75">
        <w:rPr>
          <w:rFonts w:ascii="Verdana" w:hAnsi="Verdana"/>
          <w:b/>
          <w:bCs/>
          <w:color w:val="212121"/>
          <w:spacing w:val="5"/>
          <w:sz w:val="18"/>
          <w:szCs w:val="18"/>
        </w:rPr>
        <w:t xml:space="preserve">sentencia de la Audiencia Nacional de 21 de noviembre de </w:t>
      </w:r>
      <w:r w:rsidR="00753E93">
        <w:rPr>
          <w:rFonts w:ascii="Verdana" w:hAnsi="Verdana"/>
          <w:b/>
          <w:bCs/>
          <w:color w:val="212121"/>
          <w:spacing w:val="5"/>
          <w:sz w:val="18"/>
          <w:szCs w:val="18"/>
        </w:rPr>
        <w:t>20</w:t>
      </w:r>
      <w:r w:rsidR="00606739">
        <w:rPr>
          <w:rFonts w:ascii="Verdana" w:hAnsi="Verdana"/>
          <w:b/>
          <w:bCs/>
          <w:color w:val="212121"/>
          <w:spacing w:val="5"/>
          <w:sz w:val="18"/>
          <w:szCs w:val="18"/>
        </w:rPr>
        <w:t>19</w:t>
      </w:r>
      <w:r w:rsidRPr="00020E5D">
        <w:rPr>
          <w:rFonts w:ascii="Verdana" w:hAnsi="Verdana"/>
          <w:color w:val="212121"/>
          <w:spacing w:val="5"/>
          <w:sz w:val="18"/>
          <w:szCs w:val="18"/>
        </w:rPr>
        <w:t xml:space="preserve"> ha entendido que dicho periodo de diez años debe operar también a favor de los contribuyentes. En este sentido, la Audiencia corrige el criterio expresado por la AEAT y el TEAC, que negaron la posibilidad de que el contribuyente instara la revisión de sus autoliquidaciones más allá del plazo de cuatro años de prescripción. Considera la Audiencia que, de manera igualitaria respecto de la Administración, el obligado tributario debe también beneficiarse del plazo de diez años, pues según dispone la propia exposición de motivos de la Ley 34/2015 -que modificó a estos efectos el artículo 66 bis de la Ley General Tributaria-, la ampliación de los plazos de comprobación también debe asegurar el derecho del obligado tributario a beneficiarse de los créditos fiscales de los diez años pasados, en lo que afecten a autoliquidaciones respecto de las cuales se encuentre abierto el citado plazo de prescripción. </w:t>
      </w:r>
    </w:p>
    <w:p w14:paraId="07F50423" w14:textId="1A619EC5" w:rsidR="002E0F75" w:rsidRPr="00875FE6" w:rsidRDefault="00020E5D" w:rsidP="00403AEB">
      <w:pPr>
        <w:pStyle w:val="Sangradetextonormal"/>
        <w:tabs>
          <w:tab w:val="left" w:pos="142"/>
        </w:tabs>
        <w:ind w:left="284"/>
        <w:contextualSpacing/>
        <w:jc w:val="both"/>
        <w:rPr>
          <w:rFonts w:ascii="Verdana" w:hAnsi="Verdana"/>
          <w:b/>
          <w:bCs/>
          <w:color w:val="833C0B" w:themeColor="accent2" w:themeShade="80"/>
          <w:spacing w:val="5"/>
          <w:sz w:val="18"/>
          <w:szCs w:val="18"/>
        </w:rPr>
      </w:pPr>
      <w:r w:rsidRPr="00875FE6">
        <w:rPr>
          <w:rFonts w:ascii="Verdana" w:hAnsi="Verdana"/>
          <w:b/>
          <w:bCs/>
          <w:color w:val="833C0B" w:themeColor="accent2" w:themeShade="80"/>
          <w:spacing w:val="5"/>
          <w:sz w:val="18"/>
          <w:szCs w:val="18"/>
        </w:rPr>
        <w:t xml:space="preserve">La compensación de bases negativas como ejercicio de una opción por el contribuyente: problemas potenciales de compensación futura </w:t>
      </w:r>
    </w:p>
    <w:p w14:paraId="4433723A" w14:textId="60005620"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Cabe recordar, por otra parte, el </w:t>
      </w:r>
      <w:r w:rsidRPr="002E0F75">
        <w:rPr>
          <w:rFonts w:ascii="Verdana" w:hAnsi="Verdana"/>
          <w:b/>
          <w:bCs/>
          <w:color w:val="212121"/>
          <w:spacing w:val="5"/>
          <w:sz w:val="18"/>
          <w:szCs w:val="18"/>
        </w:rPr>
        <w:t>criterio del TEAC</w:t>
      </w:r>
      <w:r w:rsidRPr="00020E5D">
        <w:rPr>
          <w:rFonts w:ascii="Verdana" w:hAnsi="Verdana"/>
          <w:color w:val="212121"/>
          <w:spacing w:val="5"/>
          <w:sz w:val="18"/>
          <w:szCs w:val="18"/>
        </w:rPr>
        <w:t xml:space="preserve"> en su Resolución de 4 de abril de 2017, según el cual </w:t>
      </w:r>
      <w:r w:rsidRPr="002E0F75">
        <w:rPr>
          <w:rFonts w:ascii="Verdana" w:hAnsi="Verdana"/>
          <w:b/>
          <w:bCs/>
          <w:color w:val="212121"/>
          <w:spacing w:val="5"/>
          <w:sz w:val="18"/>
          <w:szCs w:val="18"/>
        </w:rPr>
        <w:t>la compensación de BINS constituye una opción del contribuyente</w:t>
      </w:r>
      <w:r w:rsidRPr="00020E5D">
        <w:rPr>
          <w:rFonts w:ascii="Verdana" w:hAnsi="Verdana"/>
          <w:color w:val="212121"/>
          <w:spacing w:val="5"/>
          <w:sz w:val="18"/>
          <w:szCs w:val="18"/>
        </w:rPr>
        <w:t xml:space="preserve"> con arreglo al artículo 119.3 de la Ley General Tributaria, </w:t>
      </w:r>
      <w:r w:rsidRPr="002E0F75">
        <w:rPr>
          <w:rFonts w:ascii="Verdana" w:hAnsi="Verdana"/>
          <w:b/>
          <w:bCs/>
          <w:color w:val="212121"/>
          <w:spacing w:val="5"/>
          <w:sz w:val="18"/>
          <w:szCs w:val="18"/>
        </w:rPr>
        <w:t>que se ejercita con la presentación en plazo de la declaración</w:t>
      </w:r>
      <w:r w:rsidRPr="00020E5D">
        <w:rPr>
          <w:rFonts w:ascii="Verdana" w:hAnsi="Verdana"/>
          <w:color w:val="212121"/>
          <w:spacing w:val="5"/>
          <w:sz w:val="18"/>
          <w:szCs w:val="18"/>
        </w:rPr>
        <w:t xml:space="preserve">. </w:t>
      </w:r>
    </w:p>
    <w:p w14:paraId="3AD11EFF" w14:textId="77777777" w:rsidR="00E622E0" w:rsidRDefault="00E622E0" w:rsidP="00403AEB">
      <w:pPr>
        <w:pStyle w:val="Sangradetextonormal"/>
        <w:tabs>
          <w:tab w:val="left" w:pos="142"/>
        </w:tabs>
        <w:ind w:left="284"/>
        <w:contextualSpacing/>
        <w:jc w:val="both"/>
        <w:rPr>
          <w:rFonts w:ascii="Verdana" w:hAnsi="Verdana"/>
          <w:color w:val="212121"/>
          <w:spacing w:val="5"/>
          <w:sz w:val="18"/>
          <w:szCs w:val="18"/>
        </w:rPr>
      </w:pPr>
    </w:p>
    <w:p w14:paraId="2C88707E" w14:textId="72BAB626" w:rsidR="000A3041"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El </w:t>
      </w:r>
      <w:r w:rsidRPr="002E0F75">
        <w:rPr>
          <w:rFonts w:ascii="Verdana" w:hAnsi="Verdana"/>
          <w:b/>
          <w:bCs/>
          <w:color w:val="212121"/>
          <w:spacing w:val="5"/>
          <w:sz w:val="18"/>
          <w:szCs w:val="18"/>
        </w:rPr>
        <w:t>TEAC desestima cierta reclamación económico-administrativa</w:t>
      </w:r>
      <w:r w:rsidRPr="00020E5D">
        <w:rPr>
          <w:rFonts w:ascii="Verdana" w:hAnsi="Verdana"/>
          <w:color w:val="212121"/>
          <w:spacing w:val="5"/>
          <w:sz w:val="18"/>
          <w:szCs w:val="18"/>
        </w:rPr>
        <w:t xml:space="preserve">, porque cuando el art. 25 del </w:t>
      </w:r>
      <w:r w:rsidR="00606739">
        <w:rPr>
          <w:rFonts w:ascii="Verdana" w:hAnsi="Verdana"/>
          <w:color w:val="212121"/>
          <w:spacing w:val="5"/>
          <w:sz w:val="18"/>
          <w:szCs w:val="18"/>
        </w:rPr>
        <w:t>T</w:t>
      </w:r>
      <w:r w:rsidRPr="00020E5D">
        <w:rPr>
          <w:rFonts w:ascii="Verdana" w:hAnsi="Verdana"/>
          <w:color w:val="212121"/>
          <w:spacing w:val="5"/>
          <w:sz w:val="18"/>
          <w:szCs w:val="18"/>
        </w:rPr>
        <w:t xml:space="preserve">exto </w:t>
      </w:r>
      <w:r w:rsidR="00606739">
        <w:rPr>
          <w:rFonts w:ascii="Verdana" w:hAnsi="Verdana"/>
          <w:color w:val="212121"/>
          <w:spacing w:val="5"/>
          <w:sz w:val="18"/>
          <w:szCs w:val="18"/>
        </w:rPr>
        <w:t>R</w:t>
      </w:r>
      <w:r w:rsidRPr="00020E5D">
        <w:rPr>
          <w:rFonts w:ascii="Verdana" w:hAnsi="Verdana"/>
          <w:color w:val="212121"/>
          <w:spacing w:val="5"/>
          <w:sz w:val="18"/>
          <w:szCs w:val="18"/>
        </w:rPr>
        <w:t xml:space="preserve">efundido de la LIS (vigente hasta 2014) dice que “las (BINS) que hayan sido objeto de liquidación o autoliquidación podrán ser compensadas con las rentas positivas…”, ello “entra plenamente dentro del concepto de “opción” ejercitada con la presentación de una declaración” -la del Impuesto sobre Sociedades-. Y aclara: </w:t>
      </w:r>
    </w:p>
    <w:p w14:paraId="00B0C28B" w14:textId="77777777" w:rsidR="00E622E0" w:rsidRDefault="00E622E0" w:rsidP="00403AEB">
      <w:pPr>
        <w:pStyle w:val="Sangradetextonormal"/>
        <w:tabs>
          <w:tab w:val="left" w:pos="142"/>
        </w:tabs>
        <w:ind w:left="284"/>
        <w:contextualSpacing/>
        <w:jc w:val="both"/>
        <w:rPr>
          <w:rFonts w:ascii="Verdana" w:hAnsi="Verdana"/>
          <w:color w:val="212121"/>
          <w:spacing w:val="5"/>
          <w:sz w:val="18"/>
          <w:szCs w:val="18"/>
        </w:rPr>
      </w:pPr>
    </w:p>
    <w:p w14:paraId="6B4ECDF3" w14:textId="78A00441" w:rsidR="000A3041" w:rsidRDefault="00020E5D" w:rsidP="00DA43D5">
      <w:pPr>
        <w:pStyle w:val="Sangradetextonormal"/>
        <w:numPr>
          <w:ilvl w:val="0"/>
          <w:numId w:val="38"/>
        </w:numPr>
        <w:tabs>
          <w:tab w:val="left" w:pos="142"/>
        </w:tabs>
        <w:ind w:left="567" w:hanging="141"/>
        <w:contextualSpacing/>
        <w:jc w:val="both"/>
        <w:rPr>
          <w:rFonts w:ascii="Verdana" w:hAnsi="Verdana"/>
          <w:color w:val="212121"/>
          <w:spacing w:val="5"/>
          <w:sz w:val="18"/>
          <w:szCs w:val="18"/>
        </w:rPr>
      </w:pPr>
      <w:r w:rsidRPr="002E0F75">
        <w:rPr>
          <w:rFonts w:ascii="Verdana" w:hAnsi="Verdana"/>
          <w:b/>
          <w:bCs/>
          <w:color w:val="212121"/>
          <w:spacing w:val="5"/>
          <w:sz w:val="18"/>
          <w:szCs w:val="18"/>
        </w:rPr>
        <w:t>Si el contribuyente hubiera autoliquidado una base imponible previa de cero o negativa</w:t>
      </w:r>
      <w:r w:rsidRPr="00020E5D">
        <w:rPr>
          <w:rFonts w:ascii="Verdana" w:hAnsi="Verdana"/>
          <w:color w:val="212121"/>
          <w:spacing w:val="5"/>
          <w:sz w:val="18"/>
          <w:szCs w:val="18"/>
        </w:rPr>
        <w:t xml:space="preserve">, teniendo BINS, debe entenderse que no ejercitó opción alguna, y por tanto podrá optar posteriormente, sea vía rectificación de autoliquidación, declaración complementaria o a raíz de una comprobación administrativa. </w:t>
      </w:r>
    </w:p>
    <w:p w14:paraId="3A524946" w14:textId="77777777" w:rsidR="00E622E0" w:rsidRDefault="00E622E0" w:rsidP="00DA43D5">
      <w:pPr>
        <w:pStyle w:val="Sangradetextonormal"/>
        <w:tabs>
          <w:tab w:val="left" w:pos="142"/>
        </w:tabs>
        <w:ind w:left="567" w:hanging="141"/>
        <w:contextualSpacing/>
        <w:jc w:val="both"/>
        <w:rPr>
          <w:rFonts w:ascii="Verdana" w:hAnsi="Verdana"/>
          <w:color w:val="212121"/>
          <w:spacing w:val="5"/>
          <w:sz w:val="18"/>
          <w:szCs w:val="18"/>
        </w:rPr>
      </w:pPr>
    </w:p>
    <w:p w14:paraId="2FF31ADE" w14:textId="7CB83D54" w:rsidR="000A3041" w:rsidRDefault="00020E5D" w:rsidP="00DA43D5">
      <w:pPr>
        <w:pStyle w:val="Sangradetextonormal"/>
        <w:numPr>
          <w:ilvl w:val="0"/>
          <w:numId w:val="38"/>
        </w:numPr>
        <w:tabs>
          <w:tab w:val="left" w:pos="142"/>
        </w:tabs>
        <w:ind w:left="567" w:hanging="141"/>
        <w:contextualSpacing/>
        <w:jc w:val="both"/>
        <w:rPr>
          <w:rFonts w:ascii="Verdana" w:hAnsi="Verdana"/>
          <w:color w:val="212121"/>
          <w:spacing w:val="5"/>
          <w:sz w:val="18"/>
          <w:szCs w:val="18"/>
        </w:rPr>
      </w:pPr>
      <w:r w:rsidRPr="0082291A">
        <w:rPr>
          <w:rFonts w:ascii="Verdana" w:hAnsi="Verdana"/>
          <w:b/>
          <w:bCs/>
          <w:color w:val="212121"/>
          <w:spacing w:val="5"/>
          <w:sz w:val="18"/>
          <w:szCs w:val="18"/>
        </w:rPr>
        <w:t>Si el contribuyente compensa hasta el máximo compensable</w:t>
      </w:r>
      <w:r w:rsidRPr="00020E5D">
        <w:rPr>
          <w:rFonts w:ascii="Verdana" w:hAnsi="Verdana"/>
          <w:color w:val="212121"/>
          <w:spacing w:val="5"/>
          <w:sz w:val="18"/>
          <w:szCs w:val="18"/>
        </w:rPr>
        <w:t xml:space="preserve">, habría optado implícitamente por deducir el importe máximo, por lo que, de incrementarse la base imponible previa por el contribuyente o en una comprobación administrativa, podrá aplicar el importe compensable no aprovechado en su día. </w:t>
      </w:r>
    </w:p>
    <w:p w14:paraId="6BC0FBD7" w14:textId="77777777" w:rsidR="00E622E0" w:rsidRDefault="00E622E0" w:rsidP="00DA43D5">
      <w:pPr>
        <w:pStyle w:val="Sangradetextonormal"/>
        <w:tabs>
          <w:tab w:val="left" w:pos="142"/>
        </w:tabs>
        <w:ind w:left="567" w:hanging="141"/>
        <w:contextualSpacing/>
        <w:jc w:val="both"/>
        <w:rPr>
          <w:rFonts w:ascii="Verdana" w:hAnsi="Verdana"/>
          <w:color w:val="212121"/>
          <w:spacing w:val="5"/>
          <w:sz w:val="18"/>
          <w:szCs w:val="18"/>
        </w:rPr>
      </w:pPr>
    </w:p>
    <w:p w14:paraId="571E5756" w14:textId="4315B0BB" w:rsidR="000A3041" w:rsidRDefault="00020E5D" w:rsidP="00DA43D5">
      <w:pPr>
        <w:pStyle w:val="Sangradetextonormal"/>
        <w:numPr>
          <w:ilvl w:val="0"/>
          <w:numId w:val="38"/>
        </w:numPr>
        <w:tabs>
          <w:tab w:val="left" w:pos="142"/>
        </w:tabs>
        <w:ind w:left="567" w:hanging="141"/>
        <w:contextualSpacing/>
        <w:jc w:val="both"/>
        <w:rPr>
          <w:rFonts w:ascii="Verdana" w:hAnsi="Verdana"/>
          <w:color w:val="212121"/>
          <w:spacing w:val="5"/>
          <w:sz w:val="18"/>
          <w:szCs w:val="18"/>
        </w:rPr>
      </w:pPr>
      <w:r w:rsidRPr="0082291A">
        <w:rPr>
          <w:rFonts w:ascii="Verdana" w:hAnsi="Verdana"/>
          <w:b/>
          <w:bCs/>
          <w:color w:val="212121"/>
          <w:spacing w:val="5"/>
          <w:sz w:val="18"/>
          <w:szCs w:val="18"/>
        </w:rPr>
        <w:t>Si autoliquidando una base imponible previa positiva, no se compensa importe alguno o se compensa un importe inferior al límite máximo compensable</w:t>
      </w:r>
      <w:r w:rsidRPr="00020E5D">
        <w:rPr>
          <w:rFonts w:ascii="Verdana" w:hAnsi="Verdana"/>
          <w:color w:val="212121"/>
          <w:spacing w:val="5"/>
          <w:sz w:val="18"/>
          <w:szCs w:val="18"/>
        </w:rPr>
        <w:t xml:space="preserve">, “es claro” que el contribuyente optó por no aprovechar en todo o en parte las BINS, y no podrá posteriormente, fuera ya del plazo voluntario de autoliquidación, sea por vía de rectificación de autoliquidación o en un procedimiento de comprobación, modificar la opción ya ejercitada. </w:t>
      </w:r>
    </w:p>
    <w:p w14:paraId="0703C8E6" w14:textId="77777777" w:rsidR="00E622E0" w:rsidRDefault="00E622E0" w:rsidP="00DA43D5">
      <w:pPr>
        <w:pStyle w:val="Sangradetextonormal"/>
        <w:tabs>
          <w:tab w:val="left" w:pos="142"/>
        </w:tabs>
        <w:ind w:left="567" w:hanging="141"/>
        <w:contextualSpacing/>
        <w:jc w:val="both"/>
        <w:rPr>
          <w:rFonts w:ascii="Verdana" w:hAnsi="Verdana"/>
          <w:color w:val="212121"/>
          <w:spacing w:val="5"/>
          <w:sz w:val="18"/>
          <w:szCs w:val="18"/>
        </w:rPr>
      </w:pPr>
    </w:p>
    <w:p w14:paraId="31173B28" w14:textId="3229E175" w:rsidR="00123D1D" w:rsidRDefault="00020E5D" w:rsidP="00DA43D5">
      <w:pPr>
        <w:pStyle w:val="Sangradetextonormal"/>
        <w:numPr>
          <w:ilvl w:val="0"/>
          <w:numId w:val="38"/>
        </w:numPr>
        <w:tabs>
          <w:tab w:val="left" w:pos="142"/>
        </w:tabs>
        <w:ind w:left="567" w:hanging="141"/>
        <w:contextualSpacing/>
        <w:jc w:val="both"/>
        <w:rPr>
          <w:rFonts w:ascii="Verdana" w:hAnsi="Verdana"/>
          <w:color w:val="212121"/>
          <w:spacing w:val="5"/>
          <w:sz w:val="18"/>
          <w:szCs w:val="18"/>
        </w:rPr>
      </w:pPr>
      <w:r w:rsidRPr="0082291A">
        <w:rPr>
          <w:rFonts w:ascii="Verdana" w:hAnsi="Verdana"/>
          <w:b/>
          <w:bCs/>
          <w:color w:val="212121"/>
          <w:spacing w:val="5"/>
          <w:sz w:val="18"/>
          <w:szCs w:val="18"/>
        </w:rPr>
        <w:t>Si el contribuyente no presenta autoliquidación en plazo</w:t>
      </w:r>
      <w:r w:rsidRPr="00020E5D">
        <w:rPr>
          <w:rFonts w:ascii="Verdana" w:hAnsi="Verdana"/>
          <w:color w:val="212121"/>
          <w:spacing w:val="5"/>
          <w:sz w:val="18"/>
          <w:szCs w:val="18"/>
        </w:rPr>
        <w:t xml:space="preserve">, se entiende que opta por el total diferimiento de las BINS, por lo que no podrá rectificar después su opción en ningún caso. Lo contrario, se dice, haría de mejor condición al no declarante, según los criterios anteriormente expuestos. </w:t>
      </w:r>
    </w:p>
    <w:p w14:paraId="7A571CE0" w14:textId="77777777" w:rsidR="000A3041" w:rsidRDefault="000A3041" w:rsidP="00403AEB">
      <w:pPr>
        <w:pStyle w:val="Sangradetextonormal"/>
        <w:tabs>
          <w:tab w:val="left" w:pos="142"/>
        </w:tabs>
        <w:ind w:left="284"/>
        <w:contextualSpacing/>
        <w:jc w:val="both"/>
        <w:rPr>
          <w:rFonts w:ascii="Verdana" w:hAnsi="Verdana"/>
          <w:color w:val="212121"/>
          <w:spacing w:val="5"/>
          <w:sz w:val="18"/>
          <w:szCs w:val="18"/>
        </w:rPr>
      </w:pPr>
    </w:p>
    <w:p w14:paraId="1F2527E8" w14:textId="3DB08914"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Por tanto, esa “opción” ha de cuidarse, porque puede impedir el aumento del importe compensado, habiendo saldo disponible, cuando por ejemplo en una comprobación tributaria posterior se aumente la base imponible. Para evitar ese efecto </w:t>
      </w:r>
      <w:r w:rsidRPr="0082291A">
        <w:rPr>
          <w:rFonts w:ascii="Verdana" w:hAnsi="Verdana"/>
          <w:b/>
          <w:bCs/>
          <w:color w:val="212121"/>
          <w:spacing w:val="5"/>
          <w:sz w:val="18"/>
          <w:szCs w:val="18"/>
        </w:rPr>
        <w:t>podría presentarse un escrito asociado a la declaración del Impuesto sobre Sociedades, explicitando los parámetros bajo los que se ejerce la “opción”</w:t>
      </w:r>
      <w:r w:rsidRPr="00020E5D">
        <w:rPr>
          <w:rFonts w:ascii="Verdana" w:hAnsi="Verdana"/>
          <w:color w:val="212121"/>
          <w:spacing w:val="5"/>
          <w:sz w:val="18"/>
          <w:szCs w:val="18"/>
        </w:rPr>
        <w:t xml:space="preserve">. Por ejemplo, indicando que “se compensa el importe máximo posible, pero con aprovechamiento de las retenciones y pagos fraccionados para dejar a cero la cuota a ingresar”. </w:t>
      </w:r>
    </w:p>
    <w:p w14:paraId="03FFC785" w14:textId="77777777" w:rsidR="00123D1D" w:rsidRDefault="00123D1D" w:rsidP="00403AEB">
      <w:pPr>
        <w:pStyle w:val="Sangradetextonormal"/>
        <w:tabs>
          <w:tab w:val="left" w:pos="142"/>
        </w:tabs>
        <w:ind w:left="284"/>
        <w:contextualSpacing/>
        <w:jc w:val="both"/>
        <w:rPr>
          <w:rFonts w:ascii="Verdana" w:hAnsi="Verdana"/>
          <w:color w:val="212121"/>
          <w:spacing w:val="5"/>
          <w:sz w:val="18"/>
          <w:szCs w:val="18"/>
        </w:rPr>
      </w:pPr>
    </w:p>
    <w:p w14:paraId="41C3ACBF" w14:textId="03EAD9F4"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Debe mencionarse también la </w:t>
      </w:r>
      <w:r w:rsidRPr="0082291A">
        <w:rPr>
          <w:rFonts w:ascii="Verdana" w:hAnsi="Verdana"/>
          <w:b/>
          <w:bCs/>
          <w:color w:val="212121"/>
          <w:spacing w:val="5"/>
          <w:sz w:val="18"/>
          <w:szCs w:val="18"/>
        </w:rPr>
        <w:t xml:space="preserve">Resolución del TEAC de 16 de enero de </w:t>
      </w:r>
      <w:r w:rsidR="00753E93">
        <w:rPr>
          <w:rFonts w:ascii="Verdana" w:hAnsi="Verdana"/>
          <w:b/>
          <w:bCs/>
          <w:color w:val="212121"/>
          <w:spacing w:val="5"/>
          <w:sz w:val="18"/>
          <w:szCs w:val="18"/>
        </w:rPr>
        <w:t>2020</w:t>
      </w:r>
      <w:r w:rsidRPr="00020E5D">
        <w:rPr>
          <w:rFonts w:ascii="Verdana" w:hAnsi="Verdana"/>
          <w:color w:val="212121"/>
          <w:spacing w:val="5"/>
          <w:sz w:val="18"/>
          <w:szCs w:val="18"/>
        </w:rPr>
        <w:t xml:space="preserve">, que matiza el criterio de la Resolución de 4 de abril de 2017 antes citada “para un supuesto no contemplado en ella”. Se trata de una entidad que en su autoliquidación no compensa BIN alguna, o compensa menos de la factible, y posteriormente (i) </w:t>
      </w:r>
      <w:r w:rsidRPr="0082291A">
        <w:rPr>
          <w:rFonts w:ascii="Verdana" w:hAnsi="Verdana"/>
          <w:b/>
          <w:bCs/>
          <w:color w:val="212121"/>
          <w:spacing w:val="5"/>
          <w:sz w:val="18"/>
          <w:szCs w:val="18"/>
        </w:rPr>
        <w:t>el importe de las BINS compensables aumenta por resolución de un órgano revisor económico-administrativo o contencioso</w:t>
      </w:r>
      <w:r w:rsidRPr="00020E5D">
        <w:rPr>
          <w:rFonts w:ascii="Verdana" w:hAnsi="Verdana"/>
          <w:color w:val="212121"/>
          <w:spacing w:val="5"/>
          <w:sz w:val="18"/>
          <w:szCs w:val="18"/>
        </w:rPr>
        <w:t>, que (</w:t>
      </w:r>
      <w:proofErr w:type="spellStart"/>
      <w:r w:rsidRPr="00020E5D">
        <w:rPr>
          <w:rFonts w:ascii="Verdana" w:hAnsi="Verdana"/>
          <w:color w:val="212121"/>
          <w:spacing w:val="5"/>
          <w:sz w:val="18"/>
          <w:szCs w:val="18"/>
        </w:rPr>
        <w:t>ii</w:t>
      </w:r>
      <w:proofErr w:type="spellEnd"/>
      <w:r w:rsidRPr="00020E5D">
        <w:rPr>
          <w:rFonts w:ascii="Verdana" w:hAnsi="Verdana"/>
          <w:color w:val="212121"/>
          <w:spacing w:val="5"/>
          <w:sz w:val="18"/>
          <w:szCs w:val="18"/>
        </w:rPr>
        <w:t xml:space="preserve">) </w:t>
      </w:r>
      <w:r w:rsidRPr="0082291A">
        <w:rPr>
          <w:rFonts w:ascii="Verdana" w:hAnsi="Verdana"/>
          <w:b/>
          <w:bCs/>
          <w:color w:val="212121"/>
          <w:spacing w:val="5"/>
          <w:sz w:val="18"/>
          <w:szCs w:val="18"/>
        </w:rPr>
        <w:t>anula una actuación improcedente de la Administración</w:t>
      </w:r>
      <w:r w:rsidRPr="00020E5D">
        <w:rPr>
          <w:rFonts w:ascii="Verdana" w:hAnsi="Verdana"/>
          <w:color w:val="212121"/>
          <w:spacing w:val="5"/>
          <w:sz w:val="18"/>
          <w:szCs w:val="18"/>
        </w:rPr>
        <w:t xml:space="preserve">. </w:t>
      </w:r>
    </w:p>
    <w:p w14:paraId="0AA12771" w14:textId="77777777" w:rsidR="00123D1D" w:rsidRDefault="00123D1D" w:rsidP="00403AEB">
      <w:pPr>
        <w:pStyle w:val="Sangradetextonormal"/>
        <w:tabs>
          <w:tab w:val="left" w:pos="142"/>
        </w:tabs>
        <w:ind w:left="284"/>
        <w:contextualSpacing/>
        <w:jc w:val="both"/>
        <w:rPr>
          <w:rFonts w:ascii="Verdana" w:hAnsi="Verdana"/>
          <w:color w:val="212121"/>
          <w:spacing w:val="5"/>
          <w:sz w:val="18"/>
          <w:szCs w:val="18"/>
        </w:rPr>
      </w:pPr>
    </w:p>
    <w:p w14:paraId="442CDDC5" w14:textId="77777777" w:rsidR="00123D1D" w:rsidRDefault="00020E5D" w:rsidP="00403AEB">
      <w:pPr>
        <w:pStyle w:val="Sangradetextonormal"/>
        <w:tabs>
          <w:tab w:val="left" w:pos="142"/>
        </w:tabs>
        <w:ind w:left="284"/>
        <w:contextualSpacing/>
        <w:jc w:val="both"/>
        <w:rPr>
          <w:rFonts w:ascii="Verdana" w:hAnsi="Verdana"/>
          <w:color w:val="212121"/>
          <w:spacing w:val="5"/>
          <w:sz w:val="18"/>
          <w:szCs w:val="18"/>
        </w:rPr>
      </w:pPr>
      <w:r w:rsidRPr="0082291A">
        <w:rPr>
          <w:rFonts w:ascii="Verdana" w:hAnsi="Verdana"/>
          <w:b/>
          <w:bCs/>
          <w:color w:val="212121"/>
          <w:spacing w:val="5"/>
          <w:sz w:val="18"/>
          <w:szCs w:val="18"/>
        </w:rPr>
        <w:t>Deberá entonces admitirse que en declaración complementaria o en el marco de unas actuaciones de aplicación de los tributos, el contribuyente opte por compensar un importe superior al que compensó inicialmente</w:t>
      </w:r>
      <w:r w:rsidRPr="00020E5D">
        <w:rPr>
          <w:rFonts w:ascii="Verdana" w:hAnsi="Verdana"/>
          <w:color w:val="212121"/>
          <w:spacing w:val="5"/>
          <w:sz w:val="18"/>
          <w:szCs w:val="18"/>
        </w:rPr>
        <w:t xml:space="preserve">, siendo indisponibles, en todo caso, las cantidades de bases imponibles negativas por cuya compensación sí se pronunció (optó). En definitiva, lo dispuesto en el art. 119.3 de la Ley General Tributaria debe interpretarse que es así “rebus sic </w:t>
      </w:r>
      <w:proofErr w:type="spellStart"/>
      <w:r w:rsidRPr="00020E5D">
        <w:rPr>
          <w:rFonts w:ascii="Verdana" w:hAnsi="Verdana"/>
          <w:color w:val="212121"/>
          <w:spacing w:val="5"/>
          <w:sz w:val="18"/>
          <w:szCs w:val="18"/>
        </w:rPr>
        <w:t>stantibus</w:t>
      </w:r>
      <w:proofErr w:type="spellEnd"/>
      <w:r w:rsidRPr="00020E5D">
        <w:rPr>
          <w:rFonts w:ascii="Verdana" w:hAnsi="Verdana"/>
          <w:color w:val="212121"/>
          <w:spacing w:val="5"/>
          <w:sz w:val="18"/>
          <w:szCs w:val="18"/>
        </w:rPr>
        <w:t xml:space="preserve">”, es decir, “estando así las cosas”, o lo que es igual, mientras “las cosas” no cambien. </w:t>
      </w:r>
    </w:p>
    <w:p w14:paraId="4CCF7186" w14:textId="77777777" w:rsidR="00123D1D" w:rsidRDefault="00123D1D" w:rsidP="00403AEB">
      <w:pPr>
        <w:pStyle w:val="Sangradetextonormal"/>
        <w:tabs>
          <w:tab w:val="left" w:pos="142"/>
        </w:tabs>
        <w:ind w:left="284"/>
        <w:contextualSpacing/>
        <w:jc w:val="both"/>
        <w:rPr>
          <w:rFonts w:ascii="Verdana" w:hAnsi="Verdana"/>
          <w:color w:val="212121"/>
          <w:spacing w:val="5"/>
          <w:sz w:val="18"/>
          <w:szCs w:val="18"/>
        </w:rPr>
      </w:pPr>
    </w:p>
    <w:p w14:paraId="432A9EA6" w14:textId="3A75485E" w:rsidR="00020E5D" w:rsidRDefault="00020E5D" w:rsidP="00403AEB">
      <w:pPr>
        <w:pStyle w:val="Sangradetextonormal"/>
        <w:tabs>
          <w:tab w:val="left" w:pos="142"/>
        </w:tabs>
        <w:ind w:left="284"/>
        <w:contextualSpacing/>
        <w:jc w:val="both"/>
        <w:rPr>
          <w:rFonts w:ascii="Verdana" w:hAnsi="Verdana"/>
          <w:color w:val="212121"/>
          <w:spacing w:val="5"/>
          <w:sz w:val="18"/>
          <w:szCs w:val="18"/>
        </w:rPr>
      </w:pPr>
      <w:r w:rsidRPr="00020E5D">
        <w:rPr>
          <w:rFonts w:ascii="Verdana" w:hAnsi="Verdana"/>
          <w:color w:val="212121"/>
          <w:spacing w:val="5"/>
          <w:sz w:val="18"/>
          <w:szCs w:val="18"/>
        </w:rPr>
        <w:t xml:space="preserve">No obstante, la misma </w:t>
      </w:r>
      <w:r w:rsidRPr="0082291A">
        <w:rPr>
          <w:rFonts w:ascii="Verdana" w:hAnsi="Verdana"/>
          <w:b/>
          <w:bCs/>
          <w:color w:val="212121"/>
          <w:spacing w:val="5"/>
          <w:sz w:val="18"/>
          <w:szCs w:val="18"/>
        </w:rPr>
        <w:t xml:space="preserve">sentencia de la Audiencia Nacional de 21 de noviembre de </w:t>
      </w:r>
      <w:r w:rsidR="00753E93">
        <w:rPr>
          <w:rFonts w:ascii="Verdana" w:hAnsi="Verdana"/>
          <w:b/>
          <w:bCs/>
          <w:color w:val="212121"/>
          <w:spacing w:val="5"/>
          <w:sz w:val="18"/>
          <w:szCs w:val="18"/>
        </w:rPr>
        <w:t>20</w:t>
      </w:r>
      <w:r w:rsidR="00BC4A62">
        <w:rPr>
          <w:rFonts w:ascii="Verdana" w:hAnsi="Verdana"/>
          <w:b/>
          <w:bCs/>
          <w:color w:val="212121"/>
          <w:spacing w:val="5"/>
          <w:sz w:val="18"/>
          <w:szCs w:val="18"/>
        </w:rPr>
        <w:t>19</w:t>
      </w:r>
      <w:r w:rsidRPr="00020E5D">
        <w:rPr>
          <w:rFonts w:ascii="Verdana" w:hAnsi="Verdana"/>
          <w:color w:val="212121"/>
          <w:spacing w:val="5"/>
          <w:sz w:val="18"/>
          <w:szCs w:val="18"/>
        </w:rPr>
        <w:t xml:space="preserve"> mencionada en el punto anterior, ha señalado que la modificación de la Ley General Tributaria llevada a cabo por la Ley 34/2015, ha esclarecido que la aplicación de las bases negativas no es una opción inmodificable según el art. 119.3 de dicho texto legal, pues la </w:t>
      </w:r>
      <w:r w:rsidR="00606739">
        <w:rPr>
          <w:rFonts w:ascii="Verdana" w:hAnsi="Verdana"/>
          <w:color w:val="212121"/>
          <w:spacing w:val="5"/>
          <w:sz w:val="18"/>
          <w:szCs w:val="18"/>
        </w:rPr>
        <w:t>L</w:t>
      </w:r>
      <w:r w:rsidRPr="00020E5D">
        <w:rPr>
          <w:rFonts w:ascii="Verdana" w:hAnsi="Verdana"/>
          <w:color w:val="212121"/>
          <w:spacing w:val="5"/>
          <w:sz w:val="18"/>
          <w:szCs w:val="18"/>
        </w:rPr>
        <w:t xml:space="preserve">ey citada introdujo en dicho art. </w:t>
      </w:r>
      <w:r w:rsidRPr="001A38EA">
        <w:rPr>
          <w:rFonts w:ascii="Verdana" w:hAnsi="Verdana"/>
          <w:color w:val="212121"/>
          <w:spacing w:val="5"/>
          <w:sz w:val="18"/>
          <w:szCs w:val="18"/>
        </w:rPr>
        <w:t xml:space="preserve">119 </w:t>
      </w:r>
      <w:r w:rsidRPr="00020E5D">
        <w:rPr>
          <w:rFonts w:ascii="Verdana" w:hAnsi="Verdana"/>
          <w:color w:val="212121"/>
          <w:spacing w:val="5"/>
          <w:sz w:val="18"/>
          <w:szCs w:val="18"/>
        </w:rPr>
        <w:t>un nuevo apartado 4, del que deriva que sí es posible modificar la opción en cuanto a la aplicación de bases imponibles negativas, mientras no se haya iniciado un procedimiento de aplicación de los tributos. En consecuencia, habrá que esperar al criterio del Tribunal Supremo sobre esta cuestión.</w:t>
      </w:r>
    </w:p>
    <w:p w14:paraId="225BF180" w14:textId="77777777" w:rsidR="005B6D50" w:rsidRDefault="005B6D50" w:rsidP="00CF6D58">
      <w:pPr>
        <w:pStyle w:val="Sangradetextonormal"/>
        <w:tabs>
          <w:tab w:val="left" w:pos="142"/>
        </w:tabs>
        <w:ind w:left="142"/>
        <w:jc w:val="both"/>
        <w:rPr>
          <w:rFonts w:ascii="Verdana" w:hAnsi="Verdana"/>
          <w:b/>
          <w:bCs/>
          <w:color w:val="800000"/>
          <w:sz w:val="22"/>
          <w:szCs w:val="22"/>
        </w:rPr>
      </w:pPr>
    </w:p>
    <w:p w14:paraId="029461C0" w14:textId="77777777" w:rsidR="004B5BDE" w:rsidRDefault="004B5BDE" w:rsidP="00CF6D58">
      <w:pPr>
        <w:pStyle w:val="Sangradetextonormal"/>
        <w:tabs>
          <w:tab w:val="left" w:pos="142"/>
        </w:tabs>
        <w:ind w:left="142"/>
        <w:jc w:val="both"/>
        <w:rPr>
          <w:rFonts w:ascii="Verdana" w:hAnsi="Verdana"/>
          <w:b/>
          <w:bCs/>
          <w:color w:val="800000"/>
          <w:sz w:val="22"/>
          <w:szCs w:val="22"/>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E544A5" w:rsidRPr="00E544A5" w14:paraId="128FEF07" w14:textId="77777777" w:rsidTr="000F7529">
        <w:trPr>
          <w:trHeight w:val="492"/>
        </w:trPr>
        <w:tc>
          <w:tcPr>
            <w:tcW w:w="180" w:type="dxa"/>
            <w:shd w:val="clear" w:color="auto" w:fill="FF6600"/>
          </w:tcPr>
          <w:p w14:paraId="22F5602D" w14:textId="77777777" w:rsidR="00E544A5" w:rsidRPr="00E544A5" w:rsidRDefault="00E544A5" w:rsidP="009A24B0">
            <w:pPr>
              <w:rPr>
                <w:rFonts w:ascii="Verdana" w:hAnsi="Verdana"/>
                <w:b/>
                <w:bCs/>
                <w:color w:val="800000"/>
                <w:sz w:val="18"/>
                <w:szCs w:val="18"/>
              </w:rPr>
            </w:pPr>
          </w:p>
        </w:tc>
        <w:tc>
          <w:tcPr>
            <w:tcW w:w="8460" w:type="dxa"/>
          </w:tcPr>
          <w:p w14:paraId="3A776CA6" w14:textId="6673439B" w:rsidR="00E544A5" w:rsidRPr="000F7529" w:rsidRDefault="00E544A5" w:rsidP="000F7529">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E544A5">
              <w:rPr>
                <w:rFonts w:ascii="Verdana" w:hAnsi="Verdana"/>
                <w:b/>
                <w:bCs/>
                <w:color w:val="800000"/>
                <w:sz w:val="18"/>
                <w:szCs w:val="18"/>
              </w:rPr>
              <w:t>EXENCIÓN EN AJD DE LAS ESCRITURAS DE FORMALIZACIÓN DE LAS MORATORIAS HIPOTE</w:t>
            </w:r>
            <w:r w:rsidR="00287458">
              <w:rPr>
                <w:rFonts w:ascii="Verdana" w:hAnsi="Verdana"/>
                <w:b/>
                <w:bCs/>
                <w:color w:val="800000"/>
                <w:sz w:val="18"/>
                <w:szCs w:val="18"/>
              </w:rPr>
              <w:t>CARIAS PARA EL SECTOR TURÍSTICO</w:t>
            </w:r>
          </w:p>
        </w:tc>
      </w:tr>
    </w:tbl>
    <w:p w14:paraId="01882856" w14:textId="77777777" w:rsidR="00E544A5" w:rsidRDefault="00E544A5" w:rsidP="00403AEB">
      <w:pPr>
        <w:shd w:val="clear" w:color="auto" w:fill="FFFFFF"/>
        <w:tabs>
          <w:tab w:val="left" w:pos="284"/>
        </w:tabs>
        <w:ind w:left="284" w:right="240"/>
        <w:contextualSpacing/>
        <w:jc w:val="both"/>
        <w:textAlignment w:val="baseline"/>
        <w:rPr>
          <w:rFonts w:ascii="Verdana" w:hAnsi="Verdana"/>
          <w:bCs/>
          <w:color w:val="212121"/>
          <w:spacing w:val="5"/>
          <w:sz w:val="18"/>
          <w:szCs w:val="18"/>
        </w:rPr>
      </w:pPr>
      <w:r w:rsidRPr="00E544A5">
        <w:rPr>
          <w:rFonts w:ascii="Verdana" w:hAnsi="Verdana"/>
          <w:bCs/>
          <w:color w:val="212121"/>
          <w:spacing w:val="5"/>
          <w:sz w:val="18"/>
          <w:szCs w:val="18"/>
        </w:rPr>
        <w:t>El </w:t>
      </w:r>
      <w:hyperlink r:id="rId8" w:tgtFrame="_blank" w:history="1">
        <w:r w:rsidRPr="00E544A5">
          <w:rPr>
            <w:rFonts w:ascii="Verdana" w:hAnsi="Verdana"/>
            <w:bCs/>
            <w:color w:val="212121"/>
            <w:spacing w:val="5"/>
            <w:sz w:val="18"/>
            <w:szCs w:val="18"/>
          </w:rPr>
          <w:t>Real Decreto-ley 25/2020, de 3 de julio</w:t>
        </w:r>
      </w:hyperlink>
      <w:r w:rsidRPr="00E544A5">
        <w:rPr>
          <w:rFonts w:ascii="Verdana" w:hAnsi="Verdana"/>
          <w:bCs/>
          <w:color w:val="212121"/>
          <w:spacing w:val="5"/>
          <w:sz w:val="18"/>
          <w:szCs w:val="18"/>
        </w:rPr>
        <w:t xml:space="preserve"> (BOE de 6 de julio y en vigor el 7 de julio), de medidas urgentes para apoyar la reactivación económica y el empleo, regula en su Capítulo II relativo a otras medidas de apoyo a la reactivación económica, una moratoria hipotecaria para </w:t>
      </w:r>
      <w:r w:rsidRPr="006B66D2">
        <w:rPr>
          <w:rFonts w:ascii="Verdana" w:hAnsi="Verdana"/>
          <w:b/>
          <w:bCs/>
          <w:color w:val="212121"/>
          <w:spacing w:val="5"/>
          <w:sz w:val="18"/>
          <w:szCs w:val="18"/>
        </w:rPr>
        <w:t>inmuebles afectos a actividad turística</w:t>
      </w:r>
      <w:r w:rsidRPr="00E544A5">
        <w:rPr>
          <w:rFonts w:ascii="Verdana" w:hAnsi="Verdana"/>
          <w:bCs/>
          <w:color w:val="212121"/>
          <w:spacing w:val="5"/>
          <w:sz w:val="18"/>
          <w:szCs w:val="18"/>
        </w:rPr>
        <w:t> (arts. 3 a 9 del RDL 25/2020).</w:t>
      </w:r>
    </w:p>
    <w:p w14:paraId="71639DBE" w14:textId="77777777" w:rsidR="00E544A5" w:rsidRPr="00E544A5" w:rsidRDefault="00E544A5" w:rsidP="00403AEB">
      <w:pPr>
        <w:shd w:val="clear" w:color="auto" w:fill="FFFFFF"/>
        <w:tabs>
          <w:tab w:val="left" w:pos="284"/>
        </w:tabs>
        <w:ind w:left="284" w:right="240"/>
        <w:contextualSpacing/>
        <w:jc w:val="both"/>
        <w:textAlignment w:val="baseline"/>
        <w:rPr>
          <w:rFonts w:ascii="Verdana" w:hAnsi="Verdana"/>
          <w:bCs/>
          <w:color w:val="212121"/>
          <w:spacing w:val="5"/>
          <w:sz w:val="18"/>
          <w:szCs w:val="18"/>
        </w:rPr>
      </w:pPr>
    </w:p>
    <w:p w14:paraId="5F80126E" w14:textId="35C7C4B1" w:rsidR="00E544A5" w:rsidRDefault="00E544A5" w:rsidP="00403AEB">
      <w:pPr>
        <w:shd w:val="clear" w:color="auto" w:fill="FFFFFF"/>
        <w:tabs>
          <w:tab w:val="left" w:pos="284"/>
        </w:tabs>
        <w:spacing w:before="240" w:after="240"/>
        <w:ind w:left="284" w:right="240"/>
        <w:contextualSpacing/>
        <w:jc w:val="both"/>
        <w:textAlignment w:val="baseline"/>
        <w:rPr>
          <w:rFonts w:ascii="Verdana" w:hAnsi="Verdana"/>
          <w:bCs/>
          <w:color w:val="212121"/>
          <w:spacing w:val="5"/>
          <w:sz w:val="18"/>
          <w:szCs w:val="18"/>
        </w:rPr>
      </w:pPr>
      <w:r w:rsidRPr="00E544A5">
        <w:rPr>
          <w:rFonts w:ascii="Verdana" w:hAnsi="Verdana"/>
          <w:bCs/>
          <w:color w:val="212121"/>
          <w:spacing w:val="5"/>
          <w:sz w:val="18"/>
          <w:szCs w:val="18"/>
        </w:rPr>
        <w:t xml:space="preserve">Podrán ser beneficiarios los </w:t>
      </w:r>
      <w:r w:rsidRPr="00456FC8">
        <w:rPr>
          <w:rFonts w:ascii="Verdana" w:hAnsi="Verdana"/>
          <w:b/>
          <w:bCs/>
          <w:color w:val="212121"/>
          <w:spacing w:val="5"/>
          <w:sz w:val="18"/>
          <w:szCs w:val="18"/>
        </w:rPr>
        <w:t>trabajadores autónomos y las personas jurídicas con domicilio social en España</w:t>
      </w:r>
      <w:r w:rsidRPr="00E544A5">
        <w:rPr>
          <w:rFonts w:ascii="Verdana" w:hAnsi="Verdana"/>
          <w:bCs/>
          <w:color w:val="212121"/>
          <w:spacing w:val="5"/>
          <w:sz w:val="18"/>
          <w:szCs w:val="18"/>
        </w:rPr>
        <w:t xml:space="preserve">, siempre que experimenten dificultades financieras a consecuencia de la emergencia sanitaria. Durante la moratoria, de </w:t>
      </w:r>
      <w:r w:rsidRPr="00E544A5">
        <w:rPr>
          <w:rFonts w:ascii="Verdana" w:hAnsi="Verdana"/>
          <w:b/>
          <w:bCs/>
          <w:color w:val="212121"/>
          <w:spacing w:val="5"/>
          <w:sz w:val="18"/>
          <w:szCs w:val="18"/>
        </w:rPr>
        <w:t>hasta 12 meses</w:t>
      </w:r>
      <w:r w:rsidRPr="00E544A5">
        <w:rPr>
          <w:rFonts w:ascii="Verdana" w:hAnsi="Verdana"/>
          <w:bCs/>
          <w:color w:val="212121"/>
          <w:spacing w:val="5"/>
          <w:sz w:val="18"/>
          <w:szCs w:val="18"/>
        </w:rPr>
        <w:t xml:space="preserve">, se abonarían solo intereses de la deuda hipotecaria, no amortizándose el capital. </w:t>
      </w:r>
      <w:r w:rsidR="00A54D7A" w:rsidRPr="00E544A5">
        <w:rPr>
          <w:rFonts w:ascii="Verdana" w:hAnsi="Verdana"/>
          <w:bCs/>
          <w:color w:val="212121"/>
          <w:spacing w:val="5"/>
          <w:sz w:val="18"/>
          <w:szCs w:val="18"/>
        </w:rPr>
        <w:t>Asimismo,</w:t>
      </w:r>
      <w:r w:rsidRPr="00E544A5">
        <w:rPr>
          <w:rFonts w:ascii="Verdana" w:hAnsi="Verdana"/>
          <w:bCs/>
          <w:color w:val="212121"/>
          <w:spacing w:val="5"/>
          <w:sz w:val="18"/>
          <w:szCs w:val="18"/>
        </w:rPr>
        <w:t xml:space="preserve"> la obligación financiera se extendería hasta un máximo de doce meses más o el importe aplazado se redistribuiría entre las cuotas restantes sin modificar la fecha pactada de vencimiento.</w:t>
      </w:r>
    </w:p>
    <w:p w14:paraId="15A782E7" w14:textId="77777777" w:rsidR="00E544A5" w:rsidRPr="00E544A5" w:rsidRDefault="00E544A5" w:rsidP="00403AEB">
      <w:pPr>
        <w:shd w:val="clear" w:color="auto" w:fill="FFFFFF"/>
        <w:tabs>
          <w:tab w:val="left" w:pos="284"/>
        </w:tabs>
        <w:spacing w:before="240" w:after="240"/>
        <w:ind w:left="284" w:right="240"/>
        <w:contextualSpacing/>
        <w:jc w:val="both"/>
        <w:textAlignment w:val="baseline"/>
        <w:rPr>
          <w:rFonts w:ascii="Verdana" w:hAnsi="Verdana"/>
          <w:bCs/>
          <w:color w:val="212121"/>
          <w:spacing w:val="5"/>
          <w:sz w:val="18"/>
          <w:szCs w:val="18"/>
        </w:rPr>
      </w:pPr>
    </w:p>
    <w:p w14:paraId="4F4FDFBA" w14:textId="77777777" w:rsidR="00E544A5" w:rsidRDefault="00E544A5" w:rsidP="00403AEB">
      <w:pPr>
        <w:shd w:val="clear" w:color="auto" w:fill="FFFFFF"/>
        <w:tabs>
          <w:tab w:val="left" w:pos="284"/>
        </w:tabs>
        <w:spacing w:before="240" w:after="240"/>
        <w:ind w:left="284" w:right="240"/>
        <w:contextualSpacing/>
        <w:jc w:val="both"/>
        <w:textAlignment w:val="baseline"/>
        <w:rPr>
          <w:rFonts w:ascii="Verdana" w:hAnsi="Verdana"/>
          <w:bCs/>
          <w:color w:val="212121"/>
          <w:spacing w:val="5"/>
          <w:sz w:val="18"/>
          <w:szCs w:val="18"/>
        </w:rPr>
      </w:pPr>
      <w:r w:rsidRPr="00E544A5">
        <w:rPr>
          <w:rFonts w:ascii="Verdana" w:hAnsi="Verdana"/>
          <w:bCs/>
          <w:color w:val="212121"/>
          <w:spacing w:val="5"/>
          <w:sz w:val="18"/>
          <w:szCs w:val="18"/>
        </w:rPr>
        <w:t xml:space="preserve">La carencia recaería sobre </w:t>
      </w:r>
      <w:r w:rsidRPr="00E544A5">
        <w:rPr>
          <w:rFonts w:ascii="Verdana" w:hAnsi="Verdana"/>
          <w:b/>
          <w:bCs/>
          <w:color w:val="212121"/>
          <w:spacing w:val="5"/>
          <w:sz w:val="18"/>
          <w:szCs w:val="18"/>
        </w:rPr>
        <w:t>préstamos hipotecarios que tienen como garantía un bien inmueble que se encuentre afecto al desarrollo de una actividad económica del sector turístico ejercida en territorio nacional</w:t>
      </w:r>
      <w:r w:rsidRPr="00E544A5">
        <w:rPr>
          <w:rFonts w:ascii="Verdana" w:hAnsi="Verdana"/>
          <w:bCs/>
          <w:color w:val="212121"/>
          <w:spacing w:val="5"/>
          <w:sz w:val="18"/>
          <w:szCs w:val="18"/>
        </w:rPr>
        <w:t>. Los beneficiarios serían hoteles y alojamientos turísticos similares (código CNAE 5510), alojamientos turísticos y otros alojamientos de corta estancia (código CNAE 5520), así como agencias de viaje (código CNAE 7911).</w:t>
      </w:r>
    </w:p>
    <w:p w14:paraId="56559B94" w14:textId="77777777" w:rsidR="00E544A5" w:rsidRPr="00E544A5" w:rsidRDefault="00E544A5" w:rsidP="00403AEB">
      <w:pPr>
        <w:shd w:val="clear" w:color="auto" w:fill="FFFFFF"/>
        <w:tabs>
          <w:tab w:val="left" w:pos="284"/>
        </w:tabs>
        <w:spacing w:before="240" w:after="240"/>
        <w:ind w:left="284" w:right="240"/>
        <w:contextualSpacing/>
        <w:jc w:val="both"/>
        <w:textAlignment w:val="baseline"/>
        <w:rPr>
          <w:rFonts w:ascii="Verdana" w:hAnsi="Verdana"/>
          <w:bCs/>
          <w:color w:val="212121"/>
          <w:spacing w:val="5"/>
          <w:sz w:val="18"/>
          <w:szCs w:val="18"/>
        </w:rPr>
      </w:pPr>
    </w:p>
    <w:p w14:paraId="4646B8BD" w14:textId="175FF33B" w:rsidR="00E544A5" w:rsidRDefault="00E544A5" w:rsidP="00403AEB">
      <w:pPr>
        <w:shd w:val="clear" w:color="auto" w:fill="FFFFFF"/>
        <w:tabs>
          <w:tab w:val="left" w:pos="284"/>
        </w:tabs>
        <w:ind w:left="284" w:right="240"/>
        <w:contextualSpacing/>
        <w:jc w:val="both"/>
        <w:textAlignment w:val="baseline"/>
        <w:rPr>
          <w:rFonts w:ascii="Verdana" w:hAnsi="Verdana"/>
          <w:bCs/>
          <w:color w:val="212121"/>
          <w:spacing w:val="5"/>
          <w:sz w:val="18"/>
          <w:szCs w:val="18"/>
        </w:rPr>
      </w:pPr>
      <w:r w:rsidRPr="00E544A5">
        <w:rPr>
          <w:rFonts w:ascii="Verdana" w:hAnsi="Verdana"/>
          <w:bCs/>
          <w:color w:val="212121"/>
          <w:spacing w:val="5"/>
          <w:sz w:val="18"/>
          <w:szCs w:val="18"/>
        </w:rPr>
        <w:t xml:space="preserve">Por otra parte, los derechos arancelarios notariales y registrales derivados de la formalización e inscripción de la novación del préstamo hipotecario que incluya la moratoria serán satisfechos en todo caso por el acreedor y se bonificarán en un 50 por ciento y en relación con el </w:t>
      </w:r>
      <w:r w:rsidR="00456FC8">
        <w:rPr>
          <w:rFonts w:ascii="Verdana" w:hAnsi="Verdana"/>
          <w:bCs/>
          <w:color w:val="212121"/>
          <w:spacing w:val="5"/>
          <w:sz w:val="18"/>
          <w:szCs w:val="18"/>
        </w:rPr>
        <w:t>I</w:t>
      </w:r>
      <w:r w:rsidRPr="00E544A5">
        <w:rPr>
          <w:rFonts w:ascii="Verdana" w:hAnsi="Verdana"/>
          <w:bCs/>
          <w:color w:val="212121"/>
          <w:spacing w:val="5"/>
          <w:sz w:val="18"/>
          <w:szCs w:val="18"/>
        </w:rPr>
        <w:t xml:space="preserve">mpuesto sobre </w:t>
      </w:r>
      <w:r w:rsidR="00456FC8">
        <w:rPr>
          <w:rFonts w:ascii="Verdana" w:hAnsi="Verdana"/>
          <w:bCs/>
          <w:color w:val="212121"/>
          <w:spacing w:val="5"/>
          <w:sz w:val="18"/>
          <w:szCs w:val="18"/>
        </w:rPr>
        <w:t>T</w:t>
      </w:r>
      <w:r w:rsidRPr="00E544A5">
        <w:rPr>
          <w:rFonts w:ascii="Verdana" w:hAnsi="Verdana"/>
          <w:bCs/>
          <w:color w:val="212121"/>
          <w:spacing w:val="5"/>
          <w:sz w:val="18"/>
          <w:szCs w:val="18"/>
        </w:rPr>
        <w:t xml:space="preserve">ransmisiones </w:t>
      </w:r>
      <w:r w:rsidR="00456FC8">
        <w:rPr>
          <w:rFonts w:ascii="Verdana" w:hAnsi="Verdana"/>
          <w:bCs/>
          <w:color w:val="212121"/>
          <w:spacing w:val="5"/>
          <w:sz w:val="18"/>
          <w:szCs w:val="18"/>
        </w:rPr>
        <w:t>P</w:t>
      </w:r>
      <w:r w:rsidRPr="00E544A5">
        <w:rPr>
          <w:rFonts w:ascii="Verdana" w:hAnsi="Verdana"/>
          <w:bCs/>
          <w:color w:val="212121"/>
          <w:spacing w:val="5"/>
          <w:sz w:val="18"/>
          <w:szCs w:val="18"/>
        </w:rPr>
        <w:t xml:space="preserve">atrimoniales y </w:t>
      </w:r>
      <w:r w:rsidR="00456FC8">
        <w:rPr>
          <w:rFonts w:ascii="Verdana" w:hAnsi="Verdana"/>
          <w:bCs/>
          <w:color w:val="212121"/>
          <w:spacing w:val="5"/>
          <w:sz w:val="18"/>
          <w:szCs w:val="18"/>
        </w:rPr>
        <w:t>A</w:t>
      </w:r>
      <w:r w:rsidRPr="00E544A5">
        <w:rPr>
          <w:rFonts w:ascii="Verdana" w:hAnsi="Verdana"/>
          <w:bCs/>
          <w:color w:val="212121"/>
          <w:spacing w:val="5"/>
          <w:sz w:val="18"/>
          <w:szCs w:val="18"/>
        </w:rPr>
        <w:t xml:space="preserve">ctos </w:t>
      </w:r>
      <w:r w:rsidR="00456FC8">
        <w:rPr>
          <w:rFonts w:ascii="Verdana" w:hAnsi="Verdana"/>
          <w:bCs/>
          <w:color w:val="212121"/>
          <w:spacing w:val="5"/>
          <w:sz w:val="18"/>
          <w:szCs w:val="18"/>
        </w:rPr>
        <w:t>J</w:t>
      </w:r>
      <w:r w:rsidRPr="00E544A5">
        <w:rPr>
          <w:rFonts w:ascii="Verdana" w:hAnsi="Verdana"/>
          <w:bCs/>
          <w:color w:val="212121"/>
          <w:spacing w:val="5"/>
          <w:sz w:val="18"/>
          <w:szCs w:val="18"/>
        </w:rPr>
        <w:t xml:space="preserve">urídicos </w:t>
      </w:r>
      <w:r w:rsidR="00456FC8">
        <w:rPr>
          <w:rFonts w:ascii="Verdana" w:hAnsi="Verdana"/>
          <w:bCs/>
          <w:color w:val="212121"/>
          <w:spacing w:val="5"/>
          <w:sz w:val="18"/>
          <w:szCs w:val="18"/>
        </w:rPr>
        <w:t>D</w:t>
      </w:r>
      <w:r w:rsidRPr="00E544A5">
        <w:rPr>
          <w:rFonts w:ascii="Verdana" w:hAnsi="Verdana"/>
          <w:bCs/>
          <w:color w:val="212121"/>
          <w:spacing w:val="5"/>
          <w:sz w:val="18"/>
          <w:szCs w:val="18"/>
        </w:rPr>
        <w:t xml:space="preserve">ocumentados, se introduce a través de la disposición final primera del RDL 25/2020, en el Real Decreto 1/1993, de 24 de septiembre, por el que se aprueba el Texto </w:t>
      </w:r>
      <w:r w:rsidR="00606739">
        <w:rPr>
          <w:rFonts w:ascii="Verdana" w:hAnsi="Verdana"/>
          <w:bCs/>
          <w:color w:val="212121"/>
          <w:spacing w:val="5"/>
          <w:sz w:val="18"/>
          <w:szCs w:val="18"/>
        </w:rPr>
        <w:t>R</w:t>
      </w:r>
      <w:r w:rsidRPr="00E544A5">
        <w:rPr>
          <w:rFonts w:ascii="Verdana" w:hAnsi="Verdana"/>
          <w:bCs/>
          <w:color w:val="212121"/>
          <w:spacing w:val="5"/>
          <w:sz w:val="18"/>
          <w:szCs w:val="18"/>
        </w:rPr>
        <w:t>efundido de la Ley del Impuesto sobre Transmisiones Patrimoniales y Actos Jurídicos Documentados, </w:t>
      </w:r>
      <w:r w:rsidRPr="00456FC8">
        <w:rPr>
          <w:rFonts w:ascii="Verdana" w:hAnsi="Verdana"/>
          <w:b/>
          <w:bCs/>
          <w:color w:val="212121"/>
          <w:spacing w:val="5"/>
          <w:sz w:val="18"/>
          <w:szCs w:val="18"/>
        </w:rPr>
        <w:t>una exención</w:t>
      </w:r>
      <w:r w:rsidRPr="00E544A5">
        <w:rPr>
          <w:rFonts w:ascii="Verdana" w:hAnsi="Verdana"/>
          <w:bCs/>
          <w:color w:val="212121"/>
          <w:spacing w:val="5"/>
          <w:sz w:val="18"/>
          <w:szCs w:val="18"/>
        </w:rPr>
        <w:t xml:space="preserve"> en </w:t>
      </w:r>
      <w:r w:rsidR="00456FC8">
        <w:rPr>
          <w:rFonts w:ascii="Verdana" w:hAnsi="Verdana"/>
          <w:bCs/>
          <w:color w:val="212121"/>
          <w:spacing w:val="5"/>
          <w:sz w:val="18"/>
          <w:szCs w:val="18"/>
        </w:rPr>
        <w:t>A</w:t>
      </w:r>
      <w:r w:rsidRPr="00E544A5">
        <w:rPr>
          <w:rFonts w:ascii="Verdana" w:hAnsi="Verdana"/>
          <w:bCs/>
          <w:color w:val="212121"/>
          <w:spacing w:val="5"/>
          <w:sz w:val="18"/>
          <w:szCs w:val="18"/>
        </w:rPr>
        <w:t xml:space="preserve">ctos </w:t>
      </w:r>
      <w:r w:rsidR="00456FC8">
        <w:rPr>
          <w:rFonts w:ascii="Verdana" w:hAnsi="Verdana"/>
          <w:bCs/>
          <w:color w:val="212121"/>
          <w:spacing w:val="5"/>
          <w:sz w:val="18"/>
          <w:szCs w:val="18"/>
        </w:rPr>
        <w:t>J</w:t>
      </w:r>
      <w:r w:rsidRPr="00E544A5">
        <w:rPr>
          <w:rFonts w:ascii="Verdana" w:hAnsi="Verdana"/>
          <w:bCs/>
          <w:color w:val="212121"/>
          <w:spacing w:val="5"/>
          <w:sz w:val="18"/>
          <w:szCs w:val="18"/>
        </w:rPr>
        <w:t xml:space="preserve">urídicos </w:t>
      </w:r>
      <w:r w:rsidR="00456FC8">
        <w:rPr>
          <w:rFonts w:ascii="Verdana" w:hAnsi="Verdana"/>
          <w:bCs/>
          <w:color w:val="212121"/>
          <w:spacing w:val="5"/>
          <w:sz w:val="18"/>
          <w:szCs w:val="18"/>
        </w:rPr>
        <w:t>D</w:t>
      </w:r>
      <w:r w:rsidRPr="00E544A5">
        <w:rPr>
          <w:rFonts w:ascii="Verdana" w:hAnsi="Verdana"/>
          <w:bCs/>
          <w:color w:val="212121"/>
          <w:spacing w:val="5"/>
          <w:sz w:val="18"/>
          <w:szCs w:val="18"/>
        </w:rPr>
        <w:t xml:space="preserve">ocumentados de las </w:t>
      </w:r>
      <w:r w:rsidRPr="00456FC8">
        <w:rPr>
          <w:rFonts w:ascii="Verdana" w:hAnsi="Verdana"/>
          <w:b/>
          <w:bCs/>
          <w:color w:val="212121"/>
          <w:spacing w:val="5"/>
          <w:sz w:val="18"/>
          <w:szCs w:val="18"/>
        </w:rPr>
        <w:t>escrituras de formalización de las moratorias</w:t>
      </w:r>
      <w:r w:rsidRPr="00E544A5">
        <w:rPr>
          <w:rFonts w:ascii="Verdana" w:hAnsi="Verdana"/>
          <w:bCs/>
          <w:color w:val="212121"/>
          <w:spacing w:val="5"/>
          <w:sz w:val="18"/>
          <w:szCs w:val="18"/>
        </w:rPr>
        <w:t xml:space="preserve"> de préstamos y créditos hipotecarios y de arrendamientos sin garantía hipotecaria que se produzcan en aplicación de la moratoria hipotecaria para el sector turístico, que acabamos de reseñar, introduciendo para ello en el artículo 45.I.B) del citado texto refundido el número 30.</w:t>
      </w:r>
    </w:p>
    <w:p w14:paraId="3504909F" w14:textId="77777777" w:rsidR="00287458" w:rsidRDefault="00287458" w:rsidP="00403AEB">
      <w:pPr>
        <w:shd w:val="clear" w:color="auto" w:fill="FFFFFF"/>
        <w:tabs>
          <w:tab w:val="left" w:pos="284"/>
        </w:tabs>
        <w:ind w:left="284" w:right="240"/>
        <w:contextualSpacing/>
        <w:jc w:val="both"/>
        <w:textAlignment w:val="baseline"/>
        <w:rPr>
          <w:rFonts w:ascii="Verdana" w:hAnsi="Verdana"/>
          <w:bCs/>
          <w:color w:val="212121"/>
          <w:spacing w:val="5"/>
          <w:sz w:val="18"/>
          <w:szCs w:val="18"/>
        </w:rPr>
      </w:pPr>
    </w:p>
    <w:p w14:paraId="0B2CE720" w14:textId="60142F28" w:rsidR="00287458" w:rsidRPr="00E544A5" w:rsidRDefault="00287458" w:rsidP="00403AEB">
      <w:pPr>
        <w:shd w:val="clear" w:color="auto" w:fill="FFFFFF"/>
        <w:tabs>
          <w:tab w:val="left" w:pos="284"/>
        </w:tabs>
        <w:ind w:left="284" w:right="240"/>
        <w:contextualSpacing/>
        <w:jc w:val="both"/>
        <w:textAlignment w:val="baseline"/>
        <w:rPr>
          <w:rFonts w:ascii="Verdana" w:hAnsi="Verdana"/>
          <w:bCs/>
          <w:color w:val="212121"/>
          <w:spacing w:val="5"/>
          <w:sz w:val="18"/>
          <w:szCs w:val="18"/>
        </w:rPr>
      </w:pPr>
      <w:r w:rsidRPr="00287458">
        <w:rPr>
          <w:rFonts w:ascii="Verdana" w:hAnsi="Verdana"/>
          <w:bCs/>
          <w:color w:val="212121"/>
          <w:spacing w:val="5"/>
          <w:sz w:val="18"/>
          <w:szCs w:val="18"/>
        </w:rPr>
        <w:t>En relación con el arrendamiento de inmuebles afectos al desarrollo de una actividad económica del sector turístico, en cuyo caso el beneficiario de la moratoria hipotecaria debe conceder al arrendatario una moratoria en el pago del arrendamiento de al menos un 70% de la cuantía de la moratoria hipotecaria, siempre que dicho aplazamiento o la condonación total o parcial de la misma no se hubiera conseguido ya por acuerdo entre ambas partes. Asimismo, cuando las dificultades financieras concurran en el arrendatario, este podrá instar de su arrendador la solicitud de dicha moratoria hipotecaria (RDL 25/2020 art.7).</w:t>
      </w:r>
    </w:p>
    <w:p w14:paraId="503178BC" w14:textId="77777777" w:rsidR="00570B94" w:rsidRDefault="00570B94" w:rsidP="00E544A5">
      <w:pPr>
        <w:pStyle w:val="Sangradetextonormal"/>
        <w:tabs>
          <w:tab w:val="left" w:pos="142"/>
        </w:tabs>
        <w:ind w:left="0"/>
        <w:contextualSpacing/>
        <w:jc w:val="both"/>
        <w:rPr>
          <w:rFonts w:ascii="Verdana" w:hAnsi="Verdana"/>
          <w:bCs/>
          <w:color w:val="212121"/>
          <w:spacing w:val="5"/>
          <w:sz w:val="18"/>
          <w:szCs w:val="18"/>
        </w:rPr>
      </w:pPr>
    </w:p>
    <w:p w14:paraId="14F1B092" w14:textId="4BD19111" w:rsidR="00570B94" w:rsidRDefault="00570B94" w:rsidP="00E544A5">
      <w:pPr>
        <w:pStyle w:val="Sangradetextonormal"/>
        <w:tabs>
          <w:tab w:val="left" w:pos="142"/>
        </w:tabs>
        <w:ind w:left="0"/>
        <w:contextualSpacing/>
        <w:jc w:val="both"/>
        <w:rPr>
          <w:rFonts w:ascii="Verdana" w:hAnsi="Verdana"/>
          <w:bCs/>
          <w:color w:val="212121"/>
          <w:spacing w:val="5"/>
          <w:sz w:val="18"/>
          <w:szCs w:val="18"/>
        </w:rPr>
      </w:pPr>
    </w:p>
    <w:p w14:paraId="41B7200D" w14:textId="77777777" w:rsidR="00A54D7A" w:rsidRDefault="00A54D7A" w:rsidP="00E544A5">
      <w:pPr>
        <w:pStyle w:val="Sangradetextonormal"/>
        <w:tabs>
          <w:tab w:val="left" w:pos="142"/>
        </w:tabs>
        <w:ind w:left="0"/>
        <w:contextualSpacing/>
        <w:jc w:val="both"/>
        <w:rPr>
          <w:rFonts w:ascii="Verdana" w:hAnsi="Verdana"/>
          <w:bCs/>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570B94" w:rsidRPr="00570B94" w14:paraId="06CD5205" w14:textId="77777777" w:rsidTr="009A24B0">
        <w:tc>
          <w:tcPr>
            <w:tcW w:w="180" w:type="dxa"/>
            <w:shd w:val="clear" w:color="auto" w:fill="FF6600"/>
          </w:tcPr>
          <w:p w14:paraId="47F9AC17" w14:textId="77777777" w:rsidR="00570B94" w:rsidRPr="00570B94" w:rsidRDefault="00570B94" w:rsidP="009A24B0">
            <w:pPr>
              <w:rPr>
                <w:rFonts w:ascii="Verdana" w:hAnsi="Verdana"/>
                <w:b/>
                <w:bCs/>
                <w:color w:val="800000"/>
                <w:sz w:val="18"/>
                <w:szCs w:val="18"/>
              </w:rPr>
            </w:pPr>
          </w:p>
        </w:tc>
        <w:tc>
          <w:tcPr>
            <w:tcW w:w="8460" w:type="dxa"/>
          </w:tcPr>
          <w:p w14:paraId="504BCB91" w14:textId="1281FC15" w:rsidR="00570B94" w:rsidRPr="00570B94" w:rsidRDefault="00570B94" w:rsidP="00570B94">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570B94">
              <w:rPr>
                <w:rFonts w:ascii="Verdana" w:hAnsi="Verdana"/>
                <w:b/>
                <w:bCs/>
                <w:color w:val="800000"/>
                <w:sz w:val="18"/>
                <w:szCs w:val="18"/>
              </w:rPr>
              <w:t xml:space="preserve">EL TRIBUNAL SUPREMO RECHAZA QUE LA INSPECCIÓN APLIQUE EL CRITERIO DE LA INSCRIPCIÓN CONTABLE A LOS INGRESOS (ANTICIPADOS) Y EL DEL DEVENGO A LOS GASTOS (CONTABILIZADOS CORRECTAMENTE)  </w:t>
            </w:r>
          </w:p>
        </w:tc>
      </w:tr>
    </w:tbl>
    <w:p w14:paraId="1FB06D0D" w14:textId="77777777" w:rsidR="00570B94" w:rsidRDefault="00570B94" w:rsidP="00E544A5">
      <w:pPr>
        <w:pStyle w:val="Sangradetextonormal"/>
        <w:tabs>
          <w:tab w:val="left" w:pos="142"/>
        </w:tabs>
        <w:ind w:left="0"/>
        <w:contextualSpacing/>
        <w:jc w:val="both"/>
        <w:rPr>
          <w:rFonts w:ascii="Verdana" w:hAnsi="Verdana"/>
          <w:bCs/>
          <w:color w:val="212121"/>
          <w:spacing w:val="5"/>
          <w:sz w:val="18"/>
          <w:szCs w:val="18"/>
        </w:rPr>
      </w:pPr>
    </w:p>
    <w:p w14:paraId="1176A992" w14:textId="77777777" w:rsidR="004B5BDE" w:rsidRDefault="004B5BDE" w:rsidP="00E544A5">
      <w:pPr>
        <w:pStyle w:val="Sangradetextonormal"/>
        <w:tabs>
          <w:tab w:val="left" w:pos="142"/>
        </w:tabs>
        <w:ind w:left="0"/>
        <w:contextualSpacing/>
        <w:jc w:val="both"/>
        <w:rPr>
          <w:rFonts w:ascii="Verdana" w:hAnsi="Verdana"/>
          <w:bCs/>
          <w:color w:val="212121"/>
          <w:spacing w:val="5"/>
          <w:sz w:val="18"/>
          <w:szCs w:val="18"/>
        </w:rPr>
      </w:pPr>
    </w:p>
    <w:p w14:paraId="1053ED9A" w14:textId="221C0ABE" w:rsidR="004B5BDE" w:rsidRDefault="004B5BDE" w:rsidP="004B5BDE">
      <w:pPr>
        <w:pStyle w:val="Sangradetextonormal"/>
        <w:tabs>
          <w:tab w:val="left" w:pos="142"/>
        </w:tabs>
        <w:ind w:left="284"/>
        <w:contextualSpacing/>
        <w:jc w:val="both"/>
        <w:rPr>
          <w:rFonts w:ascii="Verdana" w:hAnsi="Verdana"/>
          <w:bCs/>
          <w:color w:val="212121"/>
          <w:spacing w:val="5"/>
          <w:sz w:val="18"/>
          <w:szCs w:val="18"/>
        </w:rPr>
      </w:pPr>
      <w:r>
        <w:rPr>
          <w:rFonts w:ascii="Verdana" w:hAnsi="Verdana"/>
          <w:bCs/>
          <w:color w:val="212121"/>
          <w:spacing w:val="5"/>
          <w:sz w:val="18"/>
          <w:szCs w:val="18"/>
        </w:rPr>
        <w:t xml:space="preserve">El Tribunal Supremo en su Sentencia de 17 de junio de 2020, </w:t>
      </w:r>
      <w:r w:rsidRPr="00570B94">
        <w:rPr>
          <w:rFonts w:ascii="Verdana" w:hAnsi="Verdana"/>
          <w:bCs/>
          <w:color w:val="212121"/>
          <w:spacing w:val="5"/>
          <w:sz w:val="18"/>
          <w:szCs w:val="18"/>
        </w:rPr>
        <w:t>recurso n</w:t>
      </w:r>
      <w:r>
        <w:rPr>
          <w:rFonts w:ascii="Verdana" w:hAnsi="Verdana"/>
          <w:bCs/>
          <w:color w:val="212121"/>
          <w:spacing w:val="5"/>
          <w:sz w:val="18"/>
          <w:szCs w:val="18"/>
        </w:rPr>
        <w:t>úm.</w:t>
      </w:r>
      <w:r w:rsidRPr="00570B94">
        <w:rPr>
          <w:rFonts w:ascii="Verdana" w:hAnsi="Verdana"/>
          <w:bCs/>
          <w:color w:val="212121"/>
          <w:spacing w:val="5"/>
          <w:sz w:val="18"/>
          <w:szCs w:val="18"/>
        </w:rPr>
        <w:t xml:space="preserve"> 3687/2017</w:t>
      </w:r>
      <w:r w:rsidR="00BC4A62">
        <w:rPr>
          <w:rFonts w:ascii="Verdana" w:hAnsi="Verdana"/>
          <w:bCs/>
          <w:color w:val="212121"/>
          <w:spacing w:val="5"/>
          <w:sz w:val="18"/>
          <w:szCs w:val="18"/>
        </w:rPr>
        <w:t>,</w:t>
      </w:r>
      <w:r>
        <w:rPr>
          <w:rFonts w:ascii="Verdana" w:hAnsi="Verdana"/>
          <w:bCs/>
          <w:color w:val="212121"/>
          <w:spacing w:val="5"/>
          <w:sz w:val="18"/>
          <w:szCs w:val="18"/>
        </w:rPr>
        <w:t xml:space="preserve"> rechaza que </w:t>
      </w:r>
      <w:r w:rsidRPr="004B5BDE">
        <w:rPr>
          <w:rFonts w:ascii="Verdana" w:hAnsi="Verdana"/>
          <w:bCs/>
          <w:color w:val="212121"/>
          <w:spacing w:val="5"/>
          <w:sz w:val="18"/>
          <w:szCs w:val="18"/>
        </w:rPr>
        <w:t xml:space="preserve">la Administración </w:t>
      </w:r>
      <w:r w:rsidR="00606739">
        <w:rPr>
          <w:rFonts w:ascii="Verdana" w:hAnsi="Verdana"/>
          <w:bCs/>
          <w:color w:val="212121"/>
          <w:spacing w:val="5"/>
          <w:sz w:val="18"/>
          <w:szCs w:val="18"/>
        </w:rPr>
        <w:t>T</w:t>
      </w:r>
      <w:r w:rsidRPr="004B5BDE">
        <w:rPr>
          <w:rFonts w:ascii="Verdana" w:hAnsi="Verdana"/>
          <w:bCs/>
          <w:color w:val="212121"/>
          <w:spacing w:val="5"/>
          <w:sz w:val="18"/>
          <w:szCs w:val="18"/>
        </w:rPr>
        <w:t>ributaria impute temporalmente los gastos contabilizados según el criterio del devengo y, sin embargo, no haga lo propio con los ingresos contabilizados anticipadamente a su devengo, aplicando a éstos el criterio de caja a la hora de determinar la base imponible del IS.</w:t>
      </w:r>
    </w:p>
    <w:p w14:paraId="7C38DF71" w14:textId="77777777" w:rsidR="004B5BDE" w:rsidRDefault="004B5BDE" w:rsidP="004B5BDE">
      <w:pPr>
        <w:pStyle w:val="Sangradetextonormal"/>
        <w:tabs>
          <w:tab w:val="left" w:pos="142"/>
        </w:tabs>
        <w:ind w:left="284"/>
        <w:contextualSpacing/>
        <w:jc w:val="both"/>
        <w:rPr>
          <w:rFonts w:ascii="Verdana" w:hAnsi="Verdana"/>
          <w:bCs/>
          <w:color w:val="212121"/>
          <w:spacing w:val="5"/>
          <w:sz w:val="18"/>
          <w:szCs w:val="18"/>
        </w:rPr>
      </w:pPr>
    </w:p>
    <w:p w14:paraId="2BC456CA" w14:textId="78A3FD89" w:rsidR="003E275F" w:rsidRDefault="00570B94" w:rsidP="00403AEB">
      <w:pPr>
        <w:pStyle w:val="Sangradetextonormal"/>
        <w:tabs>
          <w:tab w:val="left" w:pos="284"/>
        </w:tabs>
        <w:ind w:left="284"/>
        <w:contextualSpacing/>
        <w:jc w:val="both"/>
        <w:rPr>
          <w:rFonts w:ascii="Verdana" w:hAnsi="Verdana"/>
          <w:bCs/>
          <w:color w:val="212121"/>
          <w:spacing w:val="5"/>
          <w:sz w:val="18"/>
          <w:szCs w:val="18"/>
        </w:rPr>
      </w:pPr>
      <w:r w:rsidRPr="00570B94">
        <w:rPr>
          <w:rFonts w:ascii="Verdana" w:hAnsi="Verdana"/>
          <w:bCs/>
          <w:color w:val="212121"/>
          <w:spacing w:val="5"/>
          <w:sz w:val="18"/>
          <w:szCs w:val="18"/>
        </w:rPr>
        <w:t xml:space="preserve">La sociedad </w:t>
      </w:r>
      <w:r w:rsidR="004B5BDE">
        <w:rPr>
          <w:rFonts w:ascii="Verdana" w:hAnsi="Verdana"/>
          <w:bCs/>
          <w:color w:val="212121"/>
          <w:spacing w:val="5"/>
          <w:sz w:val="18"/>
          <w:szCs w:val="18"/>
        </w:rPr>
        <w:t xml:space="preserve">recurrente, </w:t>
      </w:r>
      <w:r w:rsidRPr="00570B94">
        <w:rPr>
          <w:rFonts w:ascii="Verdana" w:hAnsi="Verdana"/>
          <w:bCs/>
          <w:color w:val="212121"/>
          <w:spacing w:val="5"/>
          <w:sz w:val="18"/>
          <w:szCs w:val="18"/>
        </w:rPr>
        <w:t xml:space="preserve">sostiene que la regularización con arreglo al criterio del devengo debe efectuarse </w:t>
      </w:r>
      <w:r w:rsidRPr="004B5BDE">
        <w:rPr>
          <w:rFonts w:ascii="Verdana" w:hAnsi="Verdana"/>
          <w:b/>
          <w:bCs/>
          <w:color w:val="212121"/>
          <w:spacing w:val="5"/>
          <w:sz w:val="18"/>
          <w:szCs w:val="18"/>
        </w:rPr>
        <w:t>no sólo en relación con los gastos, sino también con los ingresos</w:t>
      </w:r>
      <w:r w:rsidRPr="00570B94">
        <w:rPr>
          <w:rFonts w:ascii="Verdana" w:hAnsi="Verdana"/>
          <w:bCs/>
          <w:color w:val="212121"/>
          <w:spacing w:val="5"/>
          <w:sz w:val="18"/>
          <w:szCs w:val="18"/>
        </w:rPr>
        <w:t xml:space="preserve">, de lo que resultaría una deuda tributaria menor. El abogado del Estado señala que el art.19.3 TR Ley IS no ofrece dudas en cuanto a su interpretación, al regular por separado los efectos en el </w:t>
      </w:r>
      <w:r w:rsidR="00606739">
        <w:rPr>
          <w:rFonts w:ascii="Verdana" w:hAnsi="Verdana"/>
          <w:bCs/>
          <w:color w:val="212121"/>
          <w:spacing w:val="5"/>
          <w:sz w:val="18"/>
          <w:szCs w:val="18"/>
        </w:rPr>
        <w:t>I</w:t>
      </w:r>
      <w:r w:rsidRPr="00570B94">
        <w:rPr>
          <w:rFonts w:ascii="Verdana" w:hAnsi="Verdana"/>
          <w:bCs/>
          <w:color w:val="212121"/>
          <w:spacing w:val="5"/>
          <w:sz w:val="18"/>
          <w:szCs w:val="18"/>
        </w:rPr>
        <w:t xml:space="preserve">mpuesto sobre </w:t>
      </w:r>
      <w:r w:rsidR="00606739">
        <w:rPr>
          <w:rFonts w:ascii="Verdana" w:hAnsi="Verdana"/>
          <w:bCs/>
          <w:color w:val="212121"/>
          <w:spacing w:val="5"/>
          <w:sz w:val="18"/>
          <w:szCs w:val="18"/>
        </w:rPr>
        <w:t>S</w:t>
      </w:r>
      <w:r w:rsidRPr="00570B94">
        <w:rPr>
          <w:rFonts w:ascii="Verdana" w:hAnsi="Verdana"/>
          <w:bCs/>
          <w:color w:val="212121"/>
          <w:spacing w:val="5"/>
          <w:sz w:val="18"/>
          <w:szCs w:val="18"/>
        </w:rPr>
        <w:t xml:space="preserve">ociedades del registro contable de los ingresos y de los gastos en un período distinto al de su devengo, y la Sala </w:t>
      </w:r>
      <w:r w:rsidR="00606739">
        <w:rPr>
          <w:rFonts w:ascii="Verdana" w:hAnsi="Verdana"/>
          <w:bCs/>
          <w:color w:val="212121"/>
          <w:spacing w:val="5"/>
          <w:sz w:val="18"/>
          <w:szCs w:val="18"/>
        </w:rPr>
        <w:t>“</w:t>
      </w:r>
      <w:r w:rsidRPr="00570B94">
        <w:rPr>
          <w:rFonts w:ascii="Verdana" w:hAnsi="Verdana"/>
          <w:bCs/>
          <w:color w:val="212121"/>
          <w:spacing w:val="5"/>
          <w:sz w:val="18"/>
          <w:szCs w:val="18"/>
        </w:rPr>
        <w:t>a quo</w:t>
      </w:r>
      <w:r w:rsidR="00606739">
        <w:rPr>
          <w:rFonts w:ascii="Verdana" w:hAnsi="Verdana"/>
          <w:bCs/>
          <w:color w:val="212121"/>
          <w:spacing w:val="5"/>
          <w:sz w:val="18"/>
          <w:szCs w:val="18"/>
        </w:rPr>
        <w:t>”</w:t>
      </w:r>
      <w:r w:rsidRPr="00570B94">
        <w:rPr>
          <w:rFonts w:ascii="Verdana" w:hAnsi="Verdana"/>
          <w:bCs/>
          <w:color w:val="212121"/>
          <w:spacing w:val="5"/>
          <w:sz w:val="18"/>
          <w:szCs w:val="18"/>
        </w:rPr>
        <w:t xml:space="preserve"> se aparta de forma abrupta de su tenor literal, considerando que las reglas que establece tratan de proteger los intereses financieros de la Hacienda Pública y </w:t>
      </w:r>
      <w:r w:rsidRPr="003E275F">
        <w:rPr>
          <w:rFonts w:ascii="Verdana" w:hAnsi="Verdana"/>
          <w:b/>
          <w:bCs/>
          <w:color w:val="212121"/>
          <w:spacing w:val="5"/>
          <w:sz w:val="18"/>
          <w:szCs w:val="18"/>
        </w:rPr>
        <w:t>no de beneficiarlos</w:t>
      </w:r>
      <w:r w:rsidRPr="00570B94">
        <w:rPr>
          <w:rFonts w:ascii="Verdana" w:hAnsi="Verdana"/>
          <w:bCs/>
          <w:color w:val="212121"/>
          <w:spacing w:val="5"/>
          <w:sz w:val="18"/>
          <w:szCs w:val="18"/>
        </w:rPr>
        <w:t xml:space="preserve">, pero olvidándose de lo esencial de su contenido: el principio de registro contable y sus efectos en relación con el </w:t>
      </w:r>
      <w:r w:rsidR="00606739">
        <w:rPr>
          <w:rFonts w:ascii="Verdana" w:hAnsi="Verdana"/>
          <w:bCs/>
          <w:color w:val="212121"/>
          <w:spacing w:val="5"/>
          <w:sz w:val="18"/>
          <w:szCs w:val="18"/>
        </w:rPr>
        <w:t>I</w:t>
      </w:r>
      <w:r w:rsidRPr="00570B94">
        <w:rPr>
          <w:rFonts w:ascii="Verdana" w:hAnsi="Verdana"/>
          <w:bCs/>
          <w:color w:val="212121"/>
          <w:spacing w:val="5"/>
          <w:sz w:val="18"/>
          <w:szCs w:val="18"/>
        </w:rPr>
        <w:t xml:space="preserve">mpuesto sobre </w:t>
      </w:r>
      <w:r w:rsidR="00606739">
        <w:rPr>
          <w:rFonts w:ascii="Verdana" w:hAnsi="Verdana"/>
          <w:bCs/>
          <w:color w:val="212121"/>
          <w:spacing w:val="5"/>
          <w:sz w:val="18"/>
          <w:szCs w:val="18"/>
        </w:rPr>
        <w:t>S</w:t>
      </w:r>
      <w:r w:rsidRPr="00570B94">
        <w:rPr>
          <w:rFonts w:ascii="Verdana" w:hAnsi="Verdana"/>
          <w:bCs/>
          <w:color w:val="212121"/>
          <w:spacing w:val="5"/>
          <w:sz w:val="18"/>
          <w:szCs w:val="18"/>
        </w:rPr>
        <w:t xml:space="preserve">ociedades. </w:t>
      </w:r>
    </w:p>
    <w:p w14:paraId="55D200FF" w14:textId="77777777" w:rsidR="003E275F" w:rsidRDefault="003E275F" w:rsidP="00403AEB">
      <w:pPr>
        <w:pStyle w:val="Sangradetextonormal"/>
        <w:tabs>
          <w:tab w:val="left" w:pos="284"/>
        </w:tabs>
        <w:ind w:left="284"/>
        <w:contextualSpacing/>
        <w:jc w:val="both"/>
        <w:rPr>
          <w:rFonts w:ascii="Verdana" w:hAnsi="Verdana"/>
          <w:bCs/>
          <w:color w:val="212121"/>
          <w:spacing w:val="5"/>
          <w:sz w:val="18"/>
          <w:szCs w:val="18"/>
        </w:rPr>
      </w:pPr>
    </w:p>
    <w:p w14:paraId="747D2407" w14:textId="1E0DCCDC" w:rsidR="003E275F" w:rsidRDefault="00570B94" w:rsidP="00403AEB">
      <w:pPr>
        <w:pStyle w:val="Sangradetextonormal"/>
        <w:tabs>
          <w:tab w:val="left" w:pos="284"/>
        </w:tabs>
        <w:ind w:left="284"/>
        <w:contextualSpacing/>
        <w:jc w:val="both"/>
        <w:rPr>
          <w:rFonts w:ascii="Verdana" w:hAnsi="Verdana"/>
          <w:bCs/>
          <w:color w:val="212121"/>
          <w:spacing w:val="5"/>
          <w:sz w:val="18"/>
          <w:szCs w:val="18"/>
        </w:rPr>
      </w:pPr>
      <w:r w:rsidRPr="00570B94">
        <w:rPr>
          <w:rFonts w:ascii="Verdana" w:hAnsi="Verdana"/>
          <w:bCs/>
          <w:color w:val="212121"/>
          <w:spacing w:val="5"/>
          <w:sz w:val="18"/>
          <w:szCs w:val="18"/>
        </w:rPr>
        <w:t xml:space="preserve">Se trata, en definitiva, de un principio esencial en la relación entre la contabilidad y la base imponible del </w:t>
      </w:r>
      <w:r w:rsidR="001F7FA0">
        <w:rPr>
          <w:rFonts w:ascii="Verdana" w:hAnsi="Verdana"/>
          <w:bCs/>
          <w:color w:val="212121"/>
          <w:spacing w:val="5"/>
          <w:sz w:val="18"/>
          <w:szCs w:val="18"/>
        </w:rPr>
        <w:t>I</w:t>
      </w:r>
      <w:r w:rsidRPr="00570B94">
        <w:rPr>
          <w:rFonts w:ascii="Verdana" w:hAnsi="Verdana"/>
          <w:bCs/>
          <w:color w:val="212121"/>
          <w:spacing w:val="5"/>
          <w:sz w:val="18"/>
          <w:szCs w:val="18"/>
        </w:rPr>
        <w:t xml:space="preserve">mpuesto sobre </w:t>
      </w:r>
      <w:r w:rsidR="001F7FA0">
        <w:rPr>
          <w:rFonts w:ascii="Verdana" w:hAnsi="Verdana"/>
          <w:bCs/>
          <w:color w:val="212121"/>
          <w:spacing w:val="5"/>
          <w:sz w:val="18"/>
          <w:szCs w:val="18"/>
        </w:rPr>
        <w:t>S</w:t>
      </w:r>
      <w:r w:rsidRPr="00570B94">
        <w:rPr>
          <w:rFonts w:ascii="Verdana" w:hAnsi="Verdana"/>
          <w:bCs/>
          <w:color w:val="212121"/>
          <w:spacing w:val="5"/>
          <w:sz w:val="18"/>
          <w:szCs w:val="18"/>
        </w:rPr>
        <w:t xml:space="preserve">ociedades, que se define con toda claridad por el legislador, tanto en el derogado TR Ley IS, como en la vigente Ley 27/2014 (Ley IS). </w:t>
      </w:r>
    </w:p>
    <w:p w14:paraId="3C008434" w14:textId="77777777" w:rsidR="003E275F" w:rsidRDefault="003E275F" w:rsidP="00403AEB">
      <w:pPr>
        <w:pStyle w:val="Sangradetextonormal"/>
        <w:tabs>
          <w:tab w:val="left" w:pos="284"/>
        </w:tabs>
        <w:ind w:left="284"/>
        <w:contextualSpacing/>
        <w:jc w:val="both"/>
        <w:rPr>
          <w:rFonts w:ascii="Verdana" w:hAnsi="Verdana"/>
          <w:bCs/>
          <w:color w:val="212121"/>
          <w:spacing w:val="5"/>
          <w:sz w:val="18"/>
          <w:szCs w:val="18"/>
        </w:rPr>
      </w:pPr>
    </w:p>
    <w:p w14:paraId="7ADC82D9" w14:textId="77777777" w:rsidR="003E275F" w:rsidRDefault="00570B94" w:rsidP="00403AEB">
      <w:pPr>
        <w:pStyle w:val="Sangradetextonormal"/>
        <w:tabs>
          <w:tab w:val="left" w:pos="284"/>
        </w:tabs>
        <w:ind w:left="284"/>
        <w:contextualSpacing/>
        <w:jc w:val="both"/>
        <w:rPr>
          <w:rFonts w:ascii="Verdana" w:hAnsi="Verdana"/>
          <w:bCs/>
          <w:color w:val="212121"/>
          <w:spacing w:val="5"/>
          <w:sz w:val="18"/>
          <w:szCs w:val="18"/>
        </w:rPr>
      </w:pPr>
      <w:r w:rsidRPr="00570B94">
        <w:rPr>
          <w:rFonts w:ascii="Verdana" w:hAnsi="Verdana"/>
          <w:bCs/>
          <w:color w:val="212121"/>
          <w:spacing w:val="5"/>
          <w:sz w:val="18"/>
          <w:szCs w:val="18"/>
        </w:rPr>
        <w:t xml:space="preserve">El Tribunal considera que </w:t>
      </w:r>
      <w:r w:rsidRPr="003E275F">
        <w:rPr>
          <w:rFonts w:ascii="Verdana" w:hAnsi="Verdana"/>
          <w:b/>
          <w:bCs/>
          <w:color w:val="212121"/>
          <w:spacing w:val="5"/>
          <w:sz w:val="18"/>
          <w:szCs w:val="18"/>
        </w:rPr>
        <w:t>el principio del devengo supone que los efectos de las transacciones o hechos económicos se registrarán cuando ocurran, imputándose al ejercicio al que las cuentas anuales se refieran los gastos y los ingresos que afecten al mismo, con independencia de la fecha de su pago o de su cobro</w:t>
      </w:r>
      <w:r w:rsidRPr="00570B94">
        <w:rPr>
          <w:rFonts w:ascii="Verdana" w:hAnsi="Verdana"/>
          <w:bCs/>
          <w:color w:val="212121"/>
          <w:spacing w:val="5"/>
          <w:sz w:val="18"/>
          <w:szCs w:val="18"/>
        </w:rPr>
        <w:t xml:space="preserve">, es decir, y esto es lo verdaderamente relevante, en función de la corriente real y no en función de la corriente monetaria o financiera. </w:t>
      </w:r>
    </w:p>
    <w:p w14:paraId="7BFEBE9F" w14:textId="77777777" w:rsidR="003E275F" w:rsidRDefault="003E275F" w:rsidP="00403AEB">
      <w:pPr>
        <w:pStyle w:val="Sangradetextonormal"/>
        <w:tabs>
          <w:tab w:val="left" w:pos="284"/>
        </w:tabs>
        <w:ind w:left="284"/>
        <w:contextualSpacing/>
        <w:jc w:val="both"/>
        <w:rPr>
          <w:rFonts w:ascii="Verdana" w:hAnsi="Verdana"/>
          <w:bCs/>
          <w:color w:val="212121"/>
          <w:spacing w:val="5"/>
          <w:sz w:val="18"/>
          <w:szCs w:val="18"/>
        </w:rPr>
      </w:pPr>
    </w:p>
    <w:p w14:paraId="76E3D41E" w14:textId="77777777" w:rsidR="003E275F" w:rsidRDefault="00570B94" w:rsidP="00403AEB">
      <w:pPr>
        <w:pStyle w:val="Sangradetextonormal"/>
        <w:tabs>
          <w:tab w:val="left" w:pos="284"/>
        </w:tabs>
        <w:ind w:left="284"/>
        <w:contextualSpacing/>
        <w:jc w:val="both"/>
        <w:rPr>
          <w:rFonts w:ascii="Verdana" w:hAnsi="Verdana"/>
          <w:bCs/>
          <w:color w:val="212121"/>
          <w:spacing w:val="5"/>
          <w:sz w:val="18"/>
          <w:szCs w:val="18"/>
        </w:rPr>
      </w:pPr>
      <w:r w:rsidRPr="00570B94">
        <w:rPr>
          <w:rFonts w:ascii="Verdana" w:hAnsi="Verdana"/>
          <w:bCs/>
          <w:color w:val="212121"/>
          <w:spacing w:val="5"/>
          <w:sz w:val="18"/>
          <w:szCs w:val="18"/>
        </w:rPr>
        <w:t xml:space="preserve">Como «el resultado contable» es el que determina la base imponible, toda sociedad, al cierre del ejercicio, tendrá que analizar los diferentes ingresos y gastos que ha ido contabilizando a lo largo del mismo. Podrá suceder que se hayan devengado ingresos o gastos que no se hayan cobrado o pagado; pero también podrán existir ingresos o gastos que se hayan cobrado o pagado sin haberse devengado. </w:t>
      </w:r>
    </w:p>
    <w:p w14:paraId="3F7DA748" w14:textId="77777777" w:rsidR="003E275F" w:rsidRDefault="003E275F" w:rsidP="00403AEB">
      <w:pPr>
        <w:pStyle w:val="Sangradetextonormal"/>
        <w:tabs>
          <w:tab w:val="left" w:pos="284"/>
        </w:tabs>
        <w:ind w:left="284"/>
        <w:contextualSpacing/>
        <w:jc w:val="both"/>
        <w:rPr>
          <w:rFonts w:ascii="Verdana" w:hAnsi="Verdana"/>
          <w:bCs/>
          <w:color w:val="212121"/>
          <w:spacing w:val="5"/>
          <w:sz w:val="18"/>
          <w:szCs w:val="18"/>
        </w:rPr>
      </w:pPr>
    </w:p>
    <w:p w14:paraId="52874F5E" w14:textId="0D4301CA" w:rsidR="003E275F" w:rsidRDefault="00570B94" w:rsidP="00403AEB">
      <w:pPr>
        <w:pStyle w:val="Sangradetextonormal"/>
        <w:tabs>
          <w:tab w:val="left" w:pos="284"/>
        </w:tabs>
        <w:ind w:left="284"/>
        <w:contextualSpacing/>
        <w:jc w:val="both"/>
        <w:rPr>
          <w:rFonts w:ascii="Verdana" w:hAnsi="Verdana"/>
          <w:bCs/>
          <w:color w:val="212121"/>
          <w:spacing w:val="5"/>
          <w:sz w:val="18"/>
          <w:szCs w:val="18"/>
        </w:rPr>
      </w:pPr>
      <w:r w:rsidRPr="00570B94">
        <w:rPr>
          <w:rFonts w:ascii="Verdana" w:hAnsi="Verdana"/>
          <w:bCs/>
          <w:color w:val="212121"/>
          <w:spacing w:val="5"/>
          <w:sz w:val="18"/>
          <w:szCs w:val="18"/>
        </w:rPr>
        <w:t xml:space="preserve">En este segundo caso, a la hora de determinar el resultado contable, habrá que </w:t>
      </w:r>
      <w:r w:rsidR="00A54D7A" w:rsidRPr="00570B94">
        <w:rPr>
          <w:rFonts w:ascii="Verdana" w:hAnsi="Verdana"/>
          <w:bCs/>
          <w:color w:val="212121"/>
          <w:spacing w:val="5"/>
          <w:sz w:val="18"/>
          <w:szCs w:val="18"/>
        </w:rPr>
        <w:t>dar</w:t>
      </w:r>
      <w:r w:rsidRPr="00570B94">
        <w:rPr>
          <w:rFonts w:ascii="Verdana" w:hAnsi="Verdana"/>
          <w:bCs/>
          <w:color w:val="212121"/>
          <w:spacing w:val="5"/>
          <w:sz w:val="18"/>
          <w:szCs w:val="18"/>
        </w:rPr>
        <w:t xml:space="preserve"> de baja temporalmente aquellos conceptos que no se hayan devengado, los cuales no participarán en el cálculo del resultado contable (periodificación contable). </w:t>
      </w:r>
      <w:r w:rsidRPr="003E275F">
        <w:rPr>
          <w:rFonts w:ascii="Verdana" w:hAnsi="Verdana"/>
          <w:b/>
          <w:bCs/>
          <w:color w:val="212121"/>
          <w:spacing w:val="5"/>
          <w:sz w:val="18"/>
          <w:szCs w:val="18"/>
        </w:rPr>
        <w:t xml:space="preserve">El principio del devengo tiene, no obstante, una excepción -expresamente prevista en la </w:t>
      </w:r>
      <w:r w:rsidR="001F7FA0">
        <w:rPr>
          <w:rFonts w:ascii="Verdana" w:hAnsi="Verdana"/>
          <w:b/>
          <w:bCs/>
          <w:color w:val="212121"/>
          <w:spacing w:val="5"/>
          <w:sz w:val="18"/>
          <w:szCs w:val="18"/>
        </w:rPr>
        <w:t>L</w:t>
      </w:r>
      <w:r w:rsidRPr="003E275F">
        <w:rPr>
          <w:rFonts w:ascii="Verdana" w:hAnsi="Verdana"/>
          <w:b/>
          <w:bCs/>
          <w:color w:val="212121"/>
          <w:spacing w:val="5"/>
          <w:sz w:val="18"/>
          <w:szCs w:val="18"/>
        </w:rPr>
        <w:t xml:space="preserve">ey del </w:t>
      </w:r>
      <w:r w:rsidR="001F7FA0">
        <w:rPr>
          <w:rFonts w:ascii="Verdana" w:hAnsi="Verdana"/>
          <w:b/>
          <w:bCs/>
          <w:color w:val="212121"/>
          <w:spacing w:val="5"/>
          <w:sz w:val="18"/>
          <w:szCs w:val="18"/>
        </w:rPr>
        <w:t>I</w:t>
      </w:r>
      <w:r w:rsidRPr="003E275F">
        <w:rPr>
          <w:rFonts w:ascii="Verdana" w:hAnsi="Verdana"/>
          <w:b/>
          <w:bCs/>
          <w:color w:val="212121"/>
          <w:spacing w:val="5"/>
          <w:sz w:val="18"/>
          <w:szCs w:val="18"/>
        </w:rPr>
        <w:t xml:space="preserve">mpuesto sobre </w:t>
      </w:r>
      <w:r w:rsidR="001F7FA0">
        <w:rPr>
          <w:rFonts w:ascii="Verdana" w:hAnsi="Verdana"/>
          <w:b/>
          <w:bCs/>
          <w:color w:val="212121"/>
          <w:spacing w:val="5"/>
          <w:sz w:val="18"/>
          <w:szCs w:val="18"/>
        </w:rPr>
        <w:t>S</w:t>
      </w:r>
      <w:r w:rsidRPr="003E275F">
        <w:rPr>
          <w:rFonts w:ascii="Verdana" w:hAnsi="Verdana"/>
          <w:b/>
          <w:bCs/>
          <w:color w:val="212121"/>
          <w:spacing w:val="5"/>
          <w:sz w:val="18"/>
          <w:szCs w:val="18"/>
        </w:rPr>
        <w:t>ociedades- en los casos en los que el contribuyente no impute contablemente sus ingresos y gastos en el período correcto</w:t>
      </w:r>
      <w:r w:rsidRPr="00570B94">
        <w:rPr>
          <w:rFonts w:ascii="Verdana" w:hAnsi="Verdana"/>
          <w:bCs/>
          <w:color w:val="212121"/>
          <w:spacing w:val="5"/>
          <w:sz w:val="18"/>
          <w:szCs w:val="18"/>
        </w:rPr>
        <w:t xml:space="preserve">. Específicamente, cuando «impute los gastos en un período impositivo posterior» o cuando «impute los ingresos en un período impositivo anterior». </w:t>
      </w:r>
    </w:p>
    <w:p w14:paraId="1A04E78B" w14:textId="77777777" w:rsidR="003E275F" w:rsidRDefault="003E275F" w:rsidP="00403AEB">
      <w:pPr>
        <w:pStyle w:val="Sangradetextonormal"/>
        <w:tabs>
          <w:tab w:val="left" w:pos="284"/>
        </w:tabs>
        <w:ind w:left="284"/>
        <w:contextualSpacing/>
        <w:jc w:val="both"/>
        <w:rPr>
          <w:rFonts w:ascii="Verdana" w:hAnsi="Verdana"/>
          <w:bCs/>
          <w:color w:val="212121"/>
          <w:spacing w:val="5"/>
          <w:sz w:val="18"/>
          <w:szCs w:val="18"/>
        </w:rPr>
      </w:pPr>
    </w:p>
    <w:p w14:paraId="26D93766" w14:textId="1376EE9B" w:rsidR="00570B94" w:rsidRPr="003E275F" w:rsidRDefault="00570B94" w:rsidP="00403AEB">
      <w:pPr>
        <w:pStyle w:val="Sangradetextonormal"/>
        <w:tabs>
          <w:tab w:val="left" w:pos="284"/>
        </w:tabs>
        <w:ind w:left="284"/>
        <w:contextualSpacing/>
        <w:jc w:val="both"/>
        <w:rPr>
          <w:rFonts w:ascii="Verdana" w:hAnsi="Verdana"/>
          <w:b/>
          <w:bCs/>
          <w:color w:val="212121"/>
          <w:spacing w:val="5"/>
          <w:sz w:val="18"/>
          <w:szCs w:val="18"/>
        </w:rPr>
      </w:pPr>
      <w:r w:rsidRPr="00570B94">
        <w:rPr>
          <w:rFonts w:ascii="Verdana" w:hAnsi="Verdana"/>
          <w:bCs/>
          <w:color w:val="212121"/>
          <w:spacing w:val="5"/>
          <w:sz w:val="18"/>
          <w:szCs w:val="18"/>
        </w:rPr>
        <w:t xml:space="preserve">Acierta por completo la Sala de instancia cuando rechaza esta forma de proceder que ha tenido la Inspección aplicando el criterio de la inscripción contable a los ingresos (anticipados) y el del devengo a los gastos (contabilizados correctamente). </w:t>
      </w:r>
      <w:r w:rsidRPr="003E275F">
        <w:rPr>
          <w:rFonts w:ascii="Verdana" w:hAnsi="Verdana"/>
          <w:b/>
          <w:bCs/>
          <w:color w:val="212121"/>
          <w:spacing w:val="5"/>
          <w:sz w:val="18"/>
          <w:szCs w:val="18"/>
        </w:rPr>
        <w:t xml:space="preserve">No cabe, en un supuesto como el analizado, que la Administración </w:t>
      </w:r>
      <w:r w:rsidR="005D23E4">
        <w:rPr>
          <w:rFonts w:ascii="Verdana" w:hAnsi="Verdana"/>
          <w:b/>
          <w:bCs/>
          <w:color w:val="212121"/>
          <w:spacing w:val="5"/>
          <w:sz w:val="18"/>
          <w:szCs w:val="18"/>
        </w:rPr>
        <w:t>T</w:t>
      </w:r>
      <w:r w:rsidRPr="003E275F">
        <w:rPr>
          <w:rFonts w:ascii="Verdana" w:hAnsi="Verdana"/>
          <w:b/>
          <w:bCs/>
          <w:color w:val="212121"/>
          <w:spacing w:val="5"/>
          <w:sz w:val="18"/>
          <w:szCs w:val="18"/>
        </w:rPr>
        <w:t>ributaria impute temporalmente los gastos contabilizados según el criterio del devengo y, sin embargo, no haga lo propio con los ingresos contabilizados anticipadamente a su devengo, aplicando a éstos el criterio de caja a la hora de determinar la base imponible del IS.</w:t>
      </w:r>
    </w:p>
    <w:p w14:paraId="762F1965" w14:textId="77777777" w:rsidR="00570B94" w:rsidRPr="00570B94" w:rsidRDefault="00570B94" w:rsidP="00570B94">
      <w:pPr>
        <w:pStyle w:val="Sangradetextonormal"/>
        <w:tabs>
          <w:tab w:val="left" w:pos="142"/>
        </w:tabs>
        <w:ind w:left="142"/>
        <w:contextualSpacing/>
        <w:jc w:val="both"/>
        <w:rPr>
          <w:rFonts w:ascii="Verdana" w:hAnsi="Verdana"/>
          <w:bCs/>
          <w:color w:val="212121"/>
          <w:spacing w:val="5"/>
          <w:sz w:val="18"/>
          <w:szCs w:val="18"/>
        </w:rPr>
      </w:pPr>
    </w:p>
    <w:p w14:paraId="0AF94B79" w14:textId="77777777" w:rsidR="00785359" w:rsidRDefault="00785359" w:rsidP="00B62411">
      <w:pPr>
        <w:pStyle w:val="Sangradetextonormal"/>
        <w:tabs>
          <w:tab w:val="left" w:pos="0"/>
        </w:tabs>
        <w:ind w:left="0"/>
        <w:contextualSpacing/>
        <w:jc w:val="both"/>
        <w:rPr>
          <w:rFonts w:ascii="Verdana" w:hAnsi="Verdana"/>
          <w:bCs/>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0F7529" w:rsidRPr="000F7529" w14:paraId="1E2E69AD" w14:textId="77777777" w:rsidTr="006A221A">
        <w:tc>
          <w:tcPr>
            <w:tcW w:w="180" w:type="dxa"/>
            <w:shd w:val="clear" w:color="auto" w:fill="FF6600"/>
          </w:tcPr>
          <w:p w14:paraId="19AE2BB0" w14:textId="77777777" w:rsidR="000F7529" w:rsidRPr="000F7529" w:rsidRDefault="000F7529" w:rsidP="006A221A">
            <w:pPr>
              <w:rPr>
                <w:rFonts w:ascii="Verdana" w:hAnsi="Verdana"/>
                <w:b/>
                <w:bCs/>
                <w:color w:val="800000"/>
                <w:sz w:val="18"/>
                <w:szCs w:val="18"/>
              </w:rPr>
            </w:pPr>
          </w:p>
        </w:tc>
        <w:tc>
          <w:tcPr>
            <w:tcW w:w="8460" w:type="dxa"/>
          </w:tcPr>
          <w:p w14:paraId="49CED0D5" w14:textId="2DF36A4E" w:rsidR="000F7529" w:rsidRPr="000F7529" w:rsidRDefault="000F7529" w:rsidP="006A221A">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0F7529">
              <w:rPr>
                <w:rFonts w:ascii="Verdana" w:hAnsi="Verdana"/>
                <w:b/>
                <w:bCs/>
                <w:color w:val="800000"/>
                <w:sz w:val="18"/>
                <w:szCs w:val="18"/>
              </w:rPr>
              <w:t xml:space="preserve">EL TRIBUNAL SUPREMO ANULA EL ARTÍCULO QUE REGULA LA OBLIGACIÓN DE INFORMAR A HACIENDA SOBRE LA CESIÓN DE USO DE VIVIENDAS CON FINES TURÍSTICOS  </w:t>
            </w:r>
          </w:p>
        </w:tc>
      </w:tr>
    </w:tbl>
    <w:p w14:paraId="6E4203A1" w14:textId="77777777" w:rsidR="000F7529" w:rsidRDefault="000F7529" w:rsidP="00B62411">
      <w:pPr>
        <w:pStyle w:val="Sangradetextonormal"/>
        <w:tabs>
          <w:tab w:val="left" w:pos="0"/>
        </w:tabs>
        <w:ind w:left="0"/>
        <w:contextualSpacing/>
        <w:jc w:val="both"/>
        <w:rPr>
          <w:rFonts w:ascii="Verdana" w:hAnsi="Verdana"/>
          <w:bCs/>
          <w:color w:val="212121"/>
          <w:spacing w:val="5"/>
          <w:sz w:val="18"/>
          <w:szCs w:val="18"/>
        </w:rPr>
      </w:pPr>
    </w:p>
    <w:p w14:paraId="46EA68B6" w14:textId="4D0B535C" w:rsidR="000F7529" w:rsidRDefault="003E1793" w:rsidP="000F7529">
      <w:pPr>
        <w:pStyle w:val="Sangradetextonormal"/>
        <w:tabs>
          <w:tab w:val="left" w:pos="284"/>
        </w:tabs>
        <w:ind w:left="284"/>
        <w:contextualSpacing/>
        <w:jc w:val="both"/>
        <w:rPr>
          <w:rFonts w:ascii="Verdana" w:hAnsi="Verdana"/>
          <w:bCs/>
          <w:color w:val="212121"/>
          <w:spacing w:val="5"/>
          <w:sz w:val="18"/>
          <w:szCs w:val="18"/>
        </w:rPr>
      </w:pPr>
      <w:r>
        <w:rPr>
          <w:rFonts w:ascii="Verdana" w:hAnsi="Verdana"/>
          <w:bCs/>
          <w:color w:val="212121"/>
          <w:spacing w:val="5"/>
          <w:sz w:val="18"/>
          <w:szCs w:val="18"/>
        </w:rPr>
        <w:t xml:space="preserve">Según el </w:t>
      </w:r>
      <w:r w:rsidRPr="003E1793">
        <w:rPr>
          <w:rFonts w:ascii="Verdana" w:hAnsi="Verdana"/>
          <w:bCs/>
          <w:color w:val="212121"/>
          <w:spacing w:val="5"/>
          <w:sz w:val="18"/>
          <w:szCs w:val="18"/>
        </w:rPr>
        <w:t>comunicado del Poder Judicial publicado el pasado 27 de julio,</w:t>
      </w:r>
      <w:r w:rsidRPr="000F7529">
        <w:rPr>
          <w:rFonts w:ascii="Verdana" w:hAnsi="Verdana"/>
          <w:bCs/>
          <w:color w:val="212121"/>
          <w:spacing w:val="5"/>
          <w:sz w:val="18"/>
          <w:szCs w:val="18"/>
        </w:rPr>
        <w:t xml:space="preserve"> </w:t>
      </w:r>
      <w:r>
        <w:rPr>
          <w:rFonts w:ascii="Verdana" w:hAnsi="Verdana"/>
          <w:bCs/>
          <w:color w:val="212121"/>
          <w:spacing w:val="5"/>
          <w:sz w:val="18"/>
          <w:szCs w:val="18"/>
        </w:rPr>
        <w:t>l</w:t>
      </w:r>
      <w:r w:rsidRPr="000F7529">
        <w:rPr>
          <w:rFonts w:ascii="Verdana" w:hAnsi="Verdana"/>
          <w:bCs/>
          <w:color w:val="212121"/>
          <w:spacing w:val="5"/>
          <w:sz w:val="18"/>
          <w:szCs w:val="18"/>
        </w:rPr>
        <w:t>a</w:t>
      </w:r>
      <w:r w:rsidR="000F7529" w:rsidRPr="000F7529">
        <w:rPr>
          <w:rFonts w:ascii="Verdana" w:hAnsi="Verdana"/>
          <w:bCs/>
          <w:color w:val="212121"/>
          <w:spacing w:val="5"/>
          <w:sz w:val="18"/>
          <w:szCs w:val="18"/>
        </w:rPr>
        <w:t xml:space="preserve"> Sala III, de lo Contencioso-Administrativo, del Tribunal Supremo ha anulado y dejado sin efecto el artículo 54 ter del Reglamento General de las </w:t>
      </w:r>
      <w:r w:rsidR="005D23E4">
        <w:rPr>
          <w:rFonts w:ascii="Verdana" w:hAnsi="Verdana"/>
          <w:bCs/>
          <w:color w:val="212121"/>
          <w:spacing w:val="5"/>
          <w:sz w:val="18"/>
          <w:szCs w:val="18"/>
        </w:rPr>
        <w:t>A</w:t>
      </w:r>
      <w:r w:rsidR="000F7529" w:rsidRPr="000F7529">
        <w:rPr>
          <w:rFonts w:ascii="Verdana" w:hAnsi="Verdana"/>
          <w:bCs/>
          <w:color w:val="212121"/>
          <w:spacing w:val="5"/>
          <w:sz w:val="18"/>
          <w:szCs w:val="18"/>
        </w:rPr>
        <w:t xml:space="preserve">ctuaciones y </w:t>
      </w:r>
      <w:r w:rsidR="005D23E4">
        <w:rPr>
          <w:rFonts w:ascii="Verdana" w:hAnsi="Verdana"/>
          <w:bCs/>
          <w:color w:val="212121"/>
          <w:spacing w:val="5"/>
          <w:sz w:val="18"/>
          <w:szCs w:val="18"/>
        </w:rPr>
        <w:t>P</w:t>
      </w:r>
      <w:r w:rsidR="000F7529" w:rsidRPr="000F7529">
        <w:rPr>
          <w:rFonts w:ascii="Verdana" w:hAnsi="Verdana"/>
          <w:bCs/>
          <w:color w:val="212121"/>
          <w:spacing w:val="5"/>
          <w:sz w:val="18"/>
          <w:szCs w:val="18"/>
        </w:rPr>
        <w:t xml:space="preserve">rocedimientos de </w:t>
      </w:r>
      <w:r w:rsidR="005D23E4">
        <w:rPr>
          <w:rFonts w:ascii="Verdana" w:hAnsi="Verdana"/>
          <w:bCs/>
          <w:color w:val="212121"/>
          <w:spacing w:val="5"/>
          <w:sz w:val="18"/>
          <w:szCs w:val="18"/>
        </w:rPr>
        <w:t>G</w:t>
      </w:r>
      <w:r w:rsidR="000F7529" w:rsidRPr="000F7529">
        <w:rPr>
          <w:rFonts w:ascii="Verdana" w:hAnsi="Verdana"/>
          <w:bCs/>
          <w:color w:val="212121"/>
          <w:spacing w:val="5"/>
          <w:sz w:val="18"/>
          <w:szCs w:val="18"/>
        </w:rPr>
        <w:t xml:space="preserve">estión e </w:t>
      </w:r>
      <w:r w:rsidR="005D23E4">
        <w:rPr>
          <w:rFonts w:ascii="Verdana" w:hAnsi="Verdana"/>
          <w:bCs/>
          <w:color w:val="212121"/>
          <w:spacing w:val="5"/>
          <w:sz w:val="18"/>
          <w:szCs w:val="18"/>
        </w:rPr>
        <w:t>I</w:t>
      </w:r>
      <w:r w:rsidR="000F7529" w:rsidRPr="000F7529">
        <w:rPr>
          <w:rFonts w:ascii="Verdana" w:hAnsi="Verdana"/>
          <w:bCs/>
          <w:color w:val="212121"/>
          <w:spacing w:val="5"/>
          <w:sz w:val="18"/>
          <w:szCs w:val="18"/>
        </w:rPr>
        <w:t xml:space="preserve">nspección </w:t>
      </w:r>
      <w:r w:rsidR="005D23E4">
        <w:rPr>
          <w:rFonts w:ascii="Verdana" w:hAnsi="Verdana"/>
          <w:bCs/>
          <w:color w:val="212121"/>
          <w:spacing w:val="5"/>
          <w:sz w:val="18"/>
          <w:szCs w:val="18"/>
        </w:rPr>
        <w:t>T</w:t>
      </w:r>
      <w:r w:rsidR="000F7529" w:rsidRPr="000F7529">
        <w:rPr>
          <w:rFonts w:ascii="Verdana" w:hAnsi="Verdana"/>
          <w:bCs/>
          <w:color w:val="212121"/>
          <w:spacing w:val="5"/>
          <w:sz w:val="18"/>
          <w:szCs w:val="18"/>
        </w:rPr>
        <w:t xml:space="preserve">ributaria, introducido en 2017, que regula la </w:t>
      </w:r>
      <w:r w:rsidR="000F7529" w:rsidRPr="006A0C08">
        <w:rPr>
          <w:rFonts w:ascii="Verdana" w:hAnsi="Verdana"/>
          <w:b/>
          <w:bCs/>
          <w:color w:val="212121"/>
          <w:spacing w:val="5"/>
          <w:sz w:val="18"/>
          <w:szCs w:val="18"/>
        </w:rPr>
        <w:t>“Obligación de informar sobre la cesión de uso de viviendas con fines turísticos”</w:t>
      </w:r>
      <w:r w:rsidR="000F7529" w:rsidRPr="000F7529">
        <w:rPr>
          <w:rFonts w:ascii="Verdana" w:hAnsi="Verdana"/>
          <w:bCs/>
          <w:color w:val="212121"/>
          <w:spacing w:val="5"/>
          <w:sz w:val="18"/>
          <w:szCs w:val="18"/>
        </w:rPr>
        <w:t>, ya que su tramitación no fue comunicada a la Comisión Europea como era preceptivo</w:t>
      </w:r>
      <w:r w:rsidR="006A0C08">
        <w:rPr>
          <w:rFonts w:ascii="Verdana" w:hAnsi="Verdana"/>
          <w:bCs/>
          <w:color w:val="212121"/>
          <w:spacing w:val="5"/>
          <w:sz w:val="18"/>
          <w:szCs w:val="18"/>
        </w:rPr>
        <w:t xml:space="preserve">, estimando </w:t>
      </w:r>
      <w:r w:rsidR="006A0C08" w:rsidRPr="000F7529">
        <w:rPr>
          <w:rFonts w:ascii="Verdana" w:hAnsi="Verdana"/>
          <w:bCs/>
          <w:color w:val="212121"/>
          <w:spacing w:val="5"/>
          <w:sz w:val="18"/>
          <w:szCs w:val="18"/>
        </w:rPr>
        <w:t xml:space="preserve">el recurso de la Asociación española de la Economía Digital ADIGITAL contra el apartado 11 del artículo primero del Real Decreto 1070/2017, de 29 de diciembre, por el que se introduce en el Reglamento General de las </w:t>
      </w:r>
      <w:r w:rsidR="00032064">
        <w:rPr>
          <w:rFonts w:ascii="Verdana" w:hAnsi="Verdana"/>
          <w:bCs/>
          <w:color w:val="212121"/>
          <w:spacing w:val="5"/>
          <w:sz w:val="18"/>
          <w:szCs w:val="18"/>
        </w:rPr>
        <w:t>A</w:t>
      </w:r>
      <w:r w:rsidR="006A0C08" w:rsidRPr="000F7529">
        <w:rPr>
          <w:rFonts w:ascii="Verdana" w:hAnsi="Verdana"/>
          <w:bCs/>
          <w:color w:val="212121"/>
          <w:spacing w:val="5"/>
          <w:sz w:val="18"/>
          <w:szCs w:val="18"/>
        </w:rPr>
        <w:t xml:space="preserve">ctuaciones y </w:t>
      </w:r>
      <w:r w:rsidR="00032064">
        <w:rPr>
          <w:rFonts w:ascii="Verdana" w:hAnsi="Verdana"/>
          <w:bCs/>
          <w:color w:val="212121"/>
          <w:spacing w:val="5"/>
          <w:sz w:val="18"/>
          <w:szCs w:val="18"/>
        </w:rPr>
        <w:t>P</w:t>
      </w:r>
      <w:r w:rsidR="006A0C08" w:rsidRPr="000F7529">
        <w:rPr>
          <w:rFonts w:ascii="Verdana" w:hAnsi="Verdana"/>
          <w:bCs/>
          <w:color w:val="212121"/>
          <w:spacing w:val="5"/>
          <w:sz w:val="18"/>
          <w:szCs w:val="18"/>
        </w:rPr>
        <w:t xml:space="preserve">rocedimientos de </w:t>
      </w:r>
      <w:r w:rsidR="00032064">
        <w:rPr>
          <w:rFonts w:ascii="Verdana" w:hAnsi="Verdana"/>
          <w:bCs/>
          <w:color w:val="212121"/>
          <w:spacing w:val="5"/>
          <w:sz w:val="18"/>
          <w:szCs w:val="18"/>
        </w:rPr>
        <w:t>G</w:t>
      </w:r>
      <w:r w:rsidR="006A0C08" w:rsidRPr="000F7529">
        <w:rPr>
          <w:rFonts w:ascii="Verdana" w:hAnsi="Verdana"/>
          <w:bCs/>
          <w:color w:val="212121"/>
          <w:spacing w:val="5"/>
          <w:sz w:val="18"/>
          <w:szCs w:val="18"/>
        </w:rPr>
        <w:t xml:space="preserve">estión e </w:t>
      </w:r>
      <w:r w:rsidR="00032064">
        <w:rPr>
          <w:rFonts w:ascii="Verdana" w:hAnsi="Verdana"/>
          <w:bCs/>
          <w:color w:val="212121"/>
          <w:spacing w:val="5"/>
          <w:sz w:val="18"/>
          <w:szCs w:val="18"/>
        </w:rPr>
        <w:t>I</w:t>
      </w:r>
      <w:r w:rsidR="006A0C08" w:rsidRPr="000F7529">
        <w:rPr>
          <w:rFonts w:ascii="Verdana" w:hAnsi="Verdana"/>
          <w:bCs/>
          <w:color w:val="212121"/>
          <w:spacing w:val="5"/>
          <w:sz w:val="18"/>
          <w:szCs w:val="18"/>
        </w:rPr>
        <w:t xml:space="preserve">nspección </w:t>
      </w:r>
      <w:r w:rsidR="00032064">
        <w:rPr>
          <w:rFonts w:ascii="Verdana" w:hAnsi="Verdana"/>
          <w:bCs/>
          <w:color w:val="212121"/>
          <w:spacing w:val="5"/>
          <w:sz w:val="18"/>
          <w:szCs w:val="18"/>
        </w:rPr>
        <w:t>T</w:t>
      </w:r>
      <w:r w:rsidR="006A0C08" w:rsidRPr="000F7529">
        <w:rPr>
          <w:rFonts w:ascii="Verdana" w:hAnsi="Verdana"/>
          <w:bCs/>
          <w:color w:val="212121"/>
          <w:spacing w:val="5"/>
          <w:sz w:val="18"/>
          <w:szCs w:val="18"/>
        </w:rPr>
        <w:t>ributaria aprobado por Real Decreto 1065/2007, de 27 de julio, un nuevo artículo 54 ter, que regula la “Obligación de informar sobre la cesión de uso de viviendas con fines turísticos”</w:t>
      </w:r>
      <w:r w:rsidR="000F7529" w:rsidRPr="000F7529">
        <w:rPr>
          <w:rFonts w:ascii="Verdana" w:hAnsi="Verdana"/>
          <w:bCs/>
          <w:color w:val="212121"/>
          <w:spacing w:val="5"/>
          <w:sz w:val="18"/>
          <w:szCs w:val="18"/>
        </w:rPr>
        <w:t xml:space="preserve">. </w:t>
      </w:r>
    </w:p>
    <w:p w14:paraId="3FD10F18" w14:textId="77777777" w:rsidR="000F7529" w:rsidRDefault="000F7529" w:rsidP="000F7529">
      <w:pPr>
        <w:pStyle w:val="Sangradetextonormal"/>
        <w:tabs>
          <w:tab w:val="left" w:pos="284"/>
        </w:tabs>
        <w:ind w:left="284"/>
        <w:contextualSpacing/>
        <w:jc w:val="both"/>
        <w:rPr>
          <w:rFonts w:ascii="Verdana" w:hAnsi="Verdana"/>
          <w:bCs/>
          <w:color w:val="212121"/>
          <w:spacing w:val="5"/>
          <w:sz w:val="18"/>
          <w:szCs w:val="18"/>
        </w:rPr>
      </w:pPr>
    </w:p>
    <w:p w14:paraId="5B3436A7" w14:textId="3D40C7FA" w:rsidR="000F7529" w:rsidRDefault="000F7529" w:rsidP="000F7529">
      <w:pPr>
        <w:pStyle w:val="Sangradetextonormal"/>
        <w:tabs>
          <w:tab w:val="left" w:pos="284"/>
        </w:tabs>
        <w:ind w:left="284"/>
        <w:contextualSpacing/>
        <w:jc w:val="both"/>
        <w:rPr>
          <w:rFonts w:ascii="Verdana" w:hAnsi="Verdana"/>
          <w:bCs/>
          <w:color w:val="212121"/>
          <w:spacing w:val="5"/>
          <w:sz w:val="18"/>
          <w:szCs w:val="18"/>
        </w:rPr>
      </w:pPr>
      <w:r w:rsidRPr="000F7529">
        <w:rPr>
          <w:rFonts w:ascii="Verdana" w:hAnsi="Verdana"/>
          <w:bCs/>
          <w:color w:val="212121"/>
          <w:spacing w:val="5"/>
          <w:sz w:val="18"/>
          <w:szCs w:val="18"/>
        </w:rPr>
        <w:t xml:space="preserve">El </w:t>
      </w:r>
      <w:r w:rsidR="006A0C08">
        <w:rPr>
          <w:rFonts w:ascii="Verdana" w:hAnsi="Verdana"/>
          <w:bCs/>
          <w:color w:val="212121"/>
          <w:spacing w:val="5"/>
          <w:sz w:val="18"/>
          <w:szCs w:val="18"/>
        </w:rPr>
        <w:t xml:space="preserve">Tribunal </w:t>
      </w:r>
      <w:r w:rsidRPr="000F7529">
        <w:rPr>
          <w:rFonts w:ascii="Verdana" w:hAnsi="Verdana"/>
          <w:bCs/>
          <w:color w:val="212121"/>
          <w:spacing w:val="5"/>
          <w:sz w:val="18"/>
          <w:szCs w:val="18"/>
        </w:rPr>
        <w:t xml:space="preserve">Supremo aplica al caso la sentencia del TJUE en el ‘caso Airbnb’, de 19 de diciembre de 2019, de la que se desprende que una norma como el artículo 54 ter del citado Reglamento “debía haber sido notificada bajo la Directiva 1535/2015 (procedimiento de información en reglamentaciones técnicas) y que su falta de notificación conlleva su invalidez”. </w:t>
      </w:r>
    </w:p>
    <w:p w14:paraId="0DC79BCF" w14:textId="77777777" w:rsidR="000F7529" w:rsidRDefault="000F7529" w:rsidP="000F7529">
      <w:pPr>
        <w:pStyle w:val="Sangradetextonormal"/>
        <w:tabs>
          <w:tab w:val="left" w:pos="284"/>
        </w:tabs>
        <w:ind w:left="284"/>
        <w:contextualSpacing/>
        <w:jc w:val="both"/>
        <w:rPr>
          <w:rFonts w:ascii="Verdana" w:hAnsi="Verdana"/>
          <w:bCs/>
          <w:color w:val="212121"/>
          <w:spacing w:val="5"/>
          <w:sz w:val="18"/>
          <w:szCs w:val="18"/>
        </w:rPr>
      </w:pPr>
    </w:p>
    <w:p w14:paraId="7CE927EC" w14:textId="77777777" w:rsidR="00530DED" w:rsidRDefault="000F7529" w:rsidP="000F7529">
      <w:pPr>
        <w:pStyle w:val="Sangradetextonormal"/>
        <w:tabs>
          <w:tab w:val="left" w:pos="284"/>
        </w:tabs>
        <w:ind w:left="284"/>
        <w:contextualSpacing/>
        <w:jc w:val="both"/>
        <w:rPr>
          <w:rFonts w:ascii="Verdana" w:hAnsi="Verdana"/>
          <w:bCs/>
          <w:color w:val="212121"/>
          <w:spacing w:val="5"/>
          <w:sz w:val="18"/>
          <w:szCs w:val="18"/>
        </w:rPr>
      </w:pPr>
      <w:r w:rsidRPr="000F7529">
        <w:rPr>
          <w:rFonts w:ascii="Verdana" w:hAnsi="Verdana"/>
          <w:bCs/>
          <w:color w:val="212121"/>
          <w:spacing w:val="5"/>
          <w:sz w:val="18"/>
          <w:szCs w:val="18"/>
        </w:rPr>
        <w:t xml:space="preserve">Dicho artículo 54 ter establecía que “las personas y entidades que intermedien entre los cedentes y cesionarios del uso de viviendas con fines turísticos situadas en territorio español en los términos establecidos en el apartado siguiente, vendrán obligados a presentar periódicamente una declaración informativa de las cesiones de uso en las que intermedien”. Establecía que tendrán la consideración de intermediarios todas las personas o entidades que presten el servicio de intermediación entre cedente y cesionario del uso a que se refiere el apartado anterior, ya sea a título oneroso o gratuito, en particular las personas o entidades que, constituidas como plataformas colaborativas, intermedien en la cesión de uso y tengan la consideración de prestador de servicios de la sociedad de la información. </w:t>
      </w:r>
    </w:p>
    <w:p w14:paraId="76265F78" w14:textId="77777777" w:rsidR="00530DED" w:rsidRDefault="00530DED" w:rsidP="000F7529">
      <w:pPr>
        <w:pStyle w:val="Sangradetextonormal"/>
        <w:tabs>
          <w:tab w:val="left" w:pos="284"/>
        </w:tabs>
        <w:ind w:left="284"/>
        <w:contextualSpacing/>
        <w:jc w:val="both"/>
        <w:rPr>
          <w:rFonts w:ascii="Verdana" w:hAnsi="Verdana"/>
          <w:bCs/>
          <w:color w:val="212121"/>
          <w:spacing w:val="5"/>
          <w:sz w:val="18"/>
          <w:szCs w:val="18"/>
        </w:rPr>
      </w:pPr>
    </w:p>
    <w:p w14:paraId="598E2494" w14:textId="68477CD4" w:rsidR="000F7529" w:rsidRDefault="000F7529" w:rsidP="000F7529">
      <w:pPr>
        <w:pStyle w:val="Sangradetextonormal"/>
        <w:tabs>
          <w:tab w:val="left" w:pos="284"/>
        </w:tabs>
        <w:ind w:left="284"/>
        <w:contextualSpacing/>
        <w:jc w:val="both"/>
        <w:rPr>
          <w:rFonts w:ascii="Verdana" w:hAnsi="Verdana"/>
          <w:bCs/>
          <w:color w:val="212121"/>
          <w:spacing w:val="5"/>
          <w:sz w:val="18"/>
          <w:szCs w:val="18"/>
        </w:rPr>
      </w:pPr>
      <w:r w:rsidRPr="000F7529">
        <w:rPr>
          <w:rFonts w:ascii="Verdana" w:hAnsi="Verdana"/>
          <w:bCs/>
          <w:color w:val="212121"/>
          <w:spacing w:val="5"/>
          <w:sz w:val="18"/>
          <w:szCs w:val="18"/>
        </w:rPr>
        <w:t>También regulaba que los datos que debía contener la declaración informativa</w:t>
      </w:r>
      <w:r w:rsidR="006A0C08">
        <w:rPr>
          <w:rFonts w:ascii="Verdana" w:hAnsi="Verdana"/>
          <w:bCs/>
          <w:color w:val="212121"/>
          <w:spacing w:val="5"/>
          <w:sz w:val="18"/>
          <w:szCs w:val="18"/>
        </w:rPr>
        <w:t xml:space="preserve"> tales</w:t>
      </w:r>
      <w:r w:rsidRPr="000F7529">
        <w:rPr>
          <w:rFonts w:ascii="Verdana" w:hAnsi="Verdana"/>
          <w:bCs/>
          <w:color w:val="212121"/>
          <w:spacing w:val="5"/>
          <w:sz w:val="18"/>
          <w:szCs w:val="18"/>
        </w:rPr>
        <w:t xml:space="preserve"> </w:t>
      </w:r>
      <w:r w:rsidR="006A0C08">
        <w:rPr>
          <w:rFonts w:ascii="Verdana" w:hAnsi="Verdana"/>
          <w:bCs/>
          <w:color w:val="212121"/>
          <w:spacing w:val="5"/>
          <w:sz w:val="18"/>
          <w:szCs w:val="18"/>
        </w:rPr>
        <w:t>c</w:t>
      </w:r>
      <w:r w:rsidRPr="000F7529">
        <w:rPr>
          <w:rFonts w:ascii="Verdana" w:hAnsi="Verdana"/>
          <w:bCs/>
          <w:color w:val="212121"/>
          <w:spacing w:val="5"/>
          <w:sz w:val="18"/>
          <w:szCs w:val="18"/>
        </w:rPr>
        <w:t xml:space="preserve">omo la identificación del titular de la vivienda cedida con fines turísticos, así como del titular del derecho en virtud del cual se cede la vivienda con fines turísticos, si fueren distintos. También la identificación del inmueble con especificación del número de referencia catastral o en los términos de la Orden Ministerial por la que se apruebe el modelo de declaración correspondiente, y la identificación de las personas o entidades cesionarias, así como el número de días de disfrute de la vivienda con fines turísticos, y además el importe percibido por el titular cedente del uso de la vivienda con fines turísticos o, en su caso, indicar su carácter gratuito. </w:t>
      </w:r>
    </w:p>
    <w:p w14:paraId="159EBBB2" w14:textId="77777777" w:rsidR="00320C7C" w:rsidRDefault="00320C7C" w:rsidP="00530DED">
      <w:pPr>
        <w:pStyle w:val="Sangradetextonormal"/>
        <w:tabs>
          <w:tab w:val="left" w:pos="0"/>
        </w:tabs>
        <w:ind w:left="0"/>
        <w:contextualSpacing/>
        <w:jc w:val="both"/>
        <w:rPr>
          <w:rFonts w:ascii="Verdana" w:hAnsi="Verdana"/>
          <w:bCs/>
          <w:color w:val="212121"/>
          <w:spacing w:val="5"/>
          <w:sz w:val="18"/>
          <w:szCs w:val="18"/>
        </w:rPr>
      </w:pPr>
    </w:p>
    <w:p w14:paraId="05936B51" w14:textId="70F561A6" w:rsidR="00320C7C" w:rsidRDefault="00320C7C" w:rsidP="00530DED">
      <w:pPr>
        <w:pStyle w:val="Sangradetextonormal"/>
        <w:tabs>
          <w:tab w:val="left" w:pos="0"/>
        </w:tabs>
        <w:ind w:left="0"/>
        <w:contextualSpacing/>
        <w:jc w:val="both"/>
        <w:rPr>
          <w:rFonts w:ascii="Verdana" w:hAnsi="Verdana"/>
          <w:bCs/>
          <w:color w:val="212121"/>
          <w:spacing w:val="5"/>
          <w:sz w:val="18"/>
          <w:szCs w:val="18"/>
        </w:rPr>
      </w:pPr>
    </w:p>
    <w:p w14:paraId="10B018DD" w14:textId="4EB69DFE" w:rsidR="003E1793" w:rsidRDefault="003E1793" w:rsidP="00530DED">
      <w:pPr>
        <w:pStyle w:val="Sangradetextonormal"/>
        <w:tabs>
          <w:tab w:val="left" w:pos="0"/>
        </w:tabs>
        <w:ind w:left="0"/>
        <w:contextualSpacing/>
        <w:jc w:val="both"/>
        <w:rPr>
          <w:rFonts w:ascii="Verdana" w:hAnsi="Verdana"/>
          <w:bCs/>
          <w:color w:val="212121"/>
          <w:spacing w:val="5"/>
          <w:sz w:val="18"/>
          <w:szCs w:val="18"/>
        </w:rPr>
      </w:pPr>
    </w:p>
    <w:p w14:paraId="4ED7EC98" w14:textId="77777777" w:rsidR="003E1793" w:rsidRDefault="003E1793" w:rsidP="00530DED">
      <w:pPr>
        <w:pStyle w:val="Sangradetextonormal"/>
        <w:tabs>
          <w:tab w:val="left" w:pos="0"/>
        </w:tabs>
        <w:ind w:left="0"/>
        <w:contextualSpacing/>
        <w:jc w:val="both"/>
        <w:rPr>
          <w:rFonts w:ascii="Verdana" w:hAnsi="Verdana"/>
          <w:bCs/>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320C7C" w:rsidRPr="00320C7C" w14:paraId="349C9553" w14:textId="77777777" w:rsidTr="00A82390">
        <w:tc>
          <w:tcPr>
            <w:tcW w:w="180" w:type="dxa"/>
            <w:shd w:val="clear" w:color="auto" w:fill="FF6600"/>
          </w:tcPr>
          <w:p w14:paraId="4312AC8A" w14:textId="77777777" w:rsidR="00320C7C" w:rsidRPr="00320C7C" w:rsidRDefault="00320C7C" w:rsidP="00A82390">
            <w:pPr>
              <w:rPr>
                <w:rFonts w:ascii="Verdana" w:hAnsi="Verdana"/>
                <w:b/>
                <w:bCs/>
                <w:color w:val="800000"/>
                <w:sz w:val="18"/>
                <w:szCs w:val="18"/>
              </w:rPr>
            </w:pPr>
          </w:p>
        </w:tc>
        <w:tc>
          <w:tcPr>
            <w:tcW w:w="8460" w:type="dxa"/>
          </w:tcPr>
          <w:p w14:paraId="3E71F3A3" w14:textId="4C08F96E" w:rsidR="00320C7C" w:rsidRPr="00320C7C" w:rsidRDefault="00320C7C" w:rsidP="00E844F1">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320C7C">
              <w:rPr>
                <w:rFonts w:ascii="Verdana" w:hAnsi="Verdana"/>
                <w:b/>
                <w:bCs/>
                <w:iCs/>
                <w:color w:val="800000"/>
                <w:sz w:val="18"/>
                <w:szCs w:val="18"/>
              </w:rPr>
              <w:t xml:space="preserve">CONSULTAS PUBLICADAS POR LA DIRECCIÓN GENERAL DE TRIBUTOS </w:t>
            </w:r>
            <w:r w:rsidR="00A54D7A" w:rsidRPr="00320C7C">
              <w:rPr>
                <w:rFonts w:ascii="Verdana" w:hAnsi="Verdana"/>
                <w:b/>
                <w:bCs/>
                <w:iCs/>
                <w:color w:val="800000"/>
                <w:sz w:val="18"/>
                <w:szCs w:val="18"/>
              </w:rPr>
              <w:t>CON RELACIÓN AL</w:t>
            </w:r>
            <w:r w:rsidRPr="00320C7C">
              <w:rPr>
                <w:rFonts w:ascii="Verdana" w:hAnsi="Verdana"/>
                <w:b/>
                <w:bCs/>
                <w:iCs/>
                <w:color w:val="800000"/>
                <w:sz w:val="18"/>
                <w:szCs w:val="18"/>
              </w:rPr>
              <w:t xml:space="preserve"> COVID</w:t>
            </w:r>
            <w:r w:rsidR="00E844F1">
              <w:rPr>
                <w:rFonts w:ascii="Verdana" w:hAnsi="Verdana"/>
                <w:b/>
                <w:bCs/>
                <w:iCs/>
                <w:color w:val="800000"/>
                <w:sz w:val="18"/>
                <w:szCs w:val="18"/>
              </w:rPr>
              <w:t>-</w:t>
            </w:r>
            <w:r w:rsidRPr="00320C7C">
              <w:rPr>
                <w:rFonts w:ascii="Verdana" w:hAnsi="Verdana"/>
                <w:b/>
                <w:bCs/>
                <w:iCs/>
                <w:color w:val="800000"/>
                <w:sz w:val="18"/>
                <w:szCs w:val="18"/>
              </w:rPr>
              <w:t>19</w:t>
            </w:r>
            <w:r w:rsidRPr="00320C7C">
              <w:rPr>
                <w:rFonts w:ascii="Verdana" w:hAnsi="Verdana"/>
                <w:b/>
                <w:bCs/>
                <w:color w:val="800000"/>
                <w:sz w:val="18"/>
                <w:szCs w:val="18"/>
              </w:rPr>
              <w:t xml:space="preserve">  </w:t>
            </w:r>
          </w:p>
        </w:tc>
      </w:tr>
    </w:tbl>
    <w:p w14:paraId="1AAB1699" w14:textId="77777777" w:rsidR="00320C7C" w:rsidRDefault="00320C7C" w:rsidP="00530DED">
      <w:pPr>
        <w:pStyle w:val="Sangradetextonormal"/>
        <w:tabs>
          <w:tab w:val="left" w:pos="0"/>
        </w:tabs>
        <w:ind w:left="0"/>
        <w:contextualSpacing/>
        <w:jc w:val="both"/>
        <w:rPr>
          <w:rFonts w:ascii="Verdana" w:hAnsi="Verdana"/>
          <w:bCs/>
          <w:color w:val="212121"/>
          <w:spacing w:val="5"/>
          <w:sz w:val="18"/>
          <w:szCs w:val="18"/>
        </w:rPr>
      </w:pPr>
    </w:p>
    <w:p w14:paraId="060C0903" w14:textId="77777777" w:rsidR="00E844F1" w:rsidRPr="00E844F1" w:rsidRDefault="00E844F1" w:rsidP="00320C7C">
      <w:pPr>
        <w:pStyle w:val="Sangradetextonormal"/>
        <w:tabs>
          <w:tab w:val="left" w:pos="284"/>
        </w:tabs>
        <w:ind w:left="284"/>
        <w:contextualSpacing/>
        <w:jc w:val="both"/>
        <w:rPr>
          <w:rFonts w:ascii="Verdana" w:hAnsi="Verdana"/>
          <w:bCs/>
          <w:i/>
          <w:color w:val="212121"/>
          <w:spacing w:val="5"/>
          <w:sz w:val="18"/>
          <w:szCs w:val="18"/>
        </w:rPr>
      </w:pPr>
      <w:r w:rsidRPr="00E844F1">
        <w:rPr>
          <w:rFonts w:ascii="Verdana" w:hAnsi="Verdana"/>
          <w:bCs/>
          <w:i/>
          <w:color w:val="212121"/>
          <w:spacing w:val="5"/>
          <w:sz w:val="18"/>
          <w:szCs w:val="18"/>
        </w:rPr>
        <w:t>La DGT ha publicado diversas consultas relacionadas con el Covid-19, entre las que destacamos las siguientes:</w:t>
      </w:r>
    </w:p>
    <w:p w14:paraId="5FCFC931" w14:textId="77777777" w:rsidR="00E844F1" w:rsidRDefault="00E844F1" w:rsidP="00320C7C">
      <w:pPr>
        <w:pStyle w:val="Sangradetextonormal"/>
        <w:tabs>
          <w:tab w:val="left" w:pos="284"/>
        </w:tabs>
        <w:ind w:left="284"/>
        <w:contextualSpacing/>
        <w:jc w:val="both"/>
        <w:rPr>
          <w:rFonts w:ascii="Verdana" w:hAnsi="Verdana"/>
          <w:bCs/>
          <w:color w:val="212121"/>
          <w:spacing w:val="5"/>
          <w:sz w:val="18"/>
          <w:szCs w:val="18"/>
        </w:rPr>
      </w:pPr>
    </w:p>
    <w:p w14:paraId="31CA357E" w14:textId="5B223B82" w:rsidR="00E844F1" w:rsidRPr="00E844F1" w:rsidRDefault="00E844F1" w:rsidP="00320C7C">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E844F1">
        <w:rPr>
          <w:rFonts w:ascii="Verdana" w:hAnsi="Verdana"/>
          <w:b/>
          <w:bCs/>
          <w:color w:val="833C0B" w:themeColor="accent2" w:themeShade="80"/>
          <w:spacing w:val="5"/>
          <w:sz w:val="18"/>
          <w:szCs w:val="18"/>
        </w:rPr>
        <w:lastRenderedPageBreak/>
        <w:t>Cómputo a efectos de la residencia fiscal de los días que se han tenido que pasar obligatoriamente en España a causa del estado de alarma</w:t>
      </w:r>
      <w:r>
        <w:rPr>
          <w:rFonts w:ascii="Verdana" w:hAnsi="Verdana"/>
          <w:b/>
          <w:bCs/>
          <w:color w:val="833C0B" w:themeColor="accent2" w:themeShade="80"/>
          <w:spacing w:val="5"/>
          <w:sz w:val="18"/>
          <w:szCs w:val="18"/>
        </w:rPr>
        <w:t xml:space="preserve"> CV </w:t>
      </w:r>
      <w:r w:rsidR="00AC1B78">
        <w:rPr>
          <w:rFonts w:ascii="Verdana" w:hAnsi="Verdana"/>
          <w:b/>
          <w:bCs/>
          <w:color w:val="833C0B" w:themeColor="accent2" w:themeShade="80"/>
          <w:spacing w:val="5"/>
          <w:sz w:val="18"/>
          <w:szCs w:val="18"/>
        </w:rPr>
        <w:t>1983/2020 de 17/06/2020</w:t>
      </w:r>
    </w:p>
    <w:p w14:paraId="74D14CAA" w14:textId="2593DB28"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 xml:space="preserve">Un matrimonio de residentes fiscales en </w:t>
      </w:r>
      <w:r w:rsidR="00A54D7A" w:rsidRPr="00E844F1">
        <w:rPr>
          <w:rFonts w:ascii="Verdana" w:hAnsi="Verdana"/>
          <w:bCs/>
          <w:color w:val="212121"/>
          <w:spacing w:val="5"/>
          <w:sz w:val="18"/>
          <w:szCs w:val="18"/>
        </w:rPr>
        <w:t xml:space="preserve">El </w:t>
      </w:r>
      <w:r w:rsidR="003E1793" w:rsidRPr="00E844F1">
        <w:rPr>
          <w:rFonts w:ascii="Verdana" w:hAnsi="Verdana"/>
          <w:bCs/>
          <w:color w:val="212121"/>
          <w:spacing w:val="5"/>
          <w:sz w:val="18"/>
          <w:szCs w:val="18"/>
        </w:rPr>
        <w:t>Líbano</w:t>
      </w:r>
      <w:r w:rsidRPr="00E844F1">
        <w:rPr>
          <w:rFonts w:ascii="Verdana" w:hAnsi="Verdana"/>
          <w:bCs/>
          <w:color w:val="212121"/>
          <w:spacing w:val="5"/>
          <w:sz w:val="18"/>
          <w:szCs w:val="18"/>
        </w:rPr>
        <w:t xml:space="preserve"> llegó a España en enero de 2020 para un viaje de 3 meses, pero debido al estado de alarma no ha podido regresar a su país, debiendo esperar hasta junio.</w:t>
      </w:r>
    </w:p>
    <w:p w14:paraId="1C770D92"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1E505E9A"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Teniendo en cuenta el art. 9 de la Ley 35/2006 (Ley IRPF), una persona física será considerada residente fiscal en España, en un determinado período impositivo, en la medida en que concurra alguno de los siguientes criterios, es decir, sobre la base de:</w:t>
      </w:r>
    </w:p>
    <w:p w14:paraId="0C49F524"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0C4E2C97"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 la permanencia más de 183 días, durante el año natural, en territorio español, computándose, a tal efecto, las ausencias esporádicas, salvo que se acredite la residencia fiscal en otro país. En el supuesto de países o territorios considerados como paraíso fiscal, la Administración tributaria podrá exigir que se pruebe la permanencia en éste durante 183 días en el año natural.</w:t>
      </w:r>
    </w:p>
    <w:p w14:paraId="2E114D69"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68D38398"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 que radique en España el núcleo principal o la base de sus actividades o intereses económicos, de forma directa o indirecta.</w:t>
      </w:r>
    </w:p>
    <w:p w14:paraId="156C3EE1"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74B4FD59"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Asimismo, la Ley IRPF establece una presunción, que admite prueba en contrario, de que el contribuyente tiene su residencia fiscal en España cuando, de conformidad con los criterios anteriores, resida habitualmente en España su cónyuge no separado legalmente y los hijos menores de edad que dependan de aquél.</w:t>
      </w:r>
    </w:p>
    <w:p w14:paraId="5E6847B3"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61938E58"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r w:rsidRPr="00E844F1">
        <w:rPr>
          <w:rFonts w:ascii="Verdana" w:hAnsi="Verdana"/>
          <w:bCs/>
          <w:color w:val="212121"/>
          <w:spacing w:val="5"/>
          <w:sz w:val="18"/>
          <w:szCs w:val="18"/>
        </w:rPr>
        <w:t xml:space="preserve">Con lo cual, en este caso el criterio a aplicar sería el de permanencia durante más de 183 días dentro del territorio español. Los días transcurridos en España para el matrimonio, </w:t>
      </w:r>
      <w:r w:rsidRPr="00AC1B78">
        <w:rPr>
          <w:rFonts w:ascii="Verdana" w:hAnsi="Verdana"/>
          <w:b/>
          <w:bCs/>
          <w:color w:val="212121"/>
          <w:spacing w:val="5"/>
          <w:sz w:val="18"/>
          <w:szCs w:val="18"/>
        </w:rPr>
        <w:t>como consecuencia del estado de alarma, se computarían, por lo que ambos cónyuges permanecerían más de 183 días en territorio español en el año 2020, y serían considerados contribuyentes del IRPF</w:t>
      </w:r>
      <w:r w:rsidRPr="00E844F1">
        <w:rPr>
          <w:rFonts w:ascii="Verdana" w:hAnsi="Verdana"/>
          <w:bCs/>
          <w:color w:val="212121"/>
          <w:spacing w:val="5"/>
          <w:sz w:val="18"/>
          <w:szCs w:val="18"/>
        </w:rPr>
        <w:t>.</w:t>
      </w:r>
    </w:p>
    <w:p w14:paraId="74C8AA85" w14:textId="77777777" w:rsidR="00E844F1" w:rsidRPr="00E844F1" w:rsidRDefault="00E844F1" w:rsidP="00E844F1">
      <w:pPr>
        <w:pStyle w:val="Sangradetextonormal"/>
        <w:tabs>
          <w:tab w:val="left" w:pos="284"/>
        </w:tabs>
        <w:ind w:left="284"/>
        <w:contextualSpacing/>
        <w:jc w:val="both"/>
        <w:rPr>
          <w:rFonts w:ascii="Verdana" w:hAnsi="Verdana"/>
          <w:bCs/>
          <w:color w:val="212121"/>
          <w:spacing w:val="5"/>
          <w:sz w:val="18"/>
          <w:szCs w:val="18"/>
        </w:rPr>
      </w:pPr>
    </w:p>
    <w:p w14:paraId="051BFFD8" w14:textId="3FAE7B53" w:rsidR="00E844F1" w:rsidRPr="00AC1B78" w:rsidRDefault="00AC1B78" w:rsidP="00E844F1">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AC1B78">
        <w:rPr>
          <w:rFonts w:ascii="Verdana" w:hAnsi="Verdana"/>
          <w:b/>
          <w:bCs/>
          <w:color w:val="833C0B" w:themeColor="accent2" w:themeShade="80"/>
          <w:spacing w:val="5"/>
          <w:sz w:val="18"/>
          <w:szCs w:val="18"/>
        </w:rPr>
        <w:t>Retribución en especie por la cesión del uso del vehículo por la empresa durante el estado de alarma, aunque el particular considere que está inmovilizado</w:t>
      </w:r>
      <w:r>
        <w:rPr>
          <w:rFonts w:ascii="Verdana" w:hAnsi="Verdana"/>
          <w:b/>
          <w:bCs/>
          <w:color w:val="833C0B" w:themeColor="accent2" w:themeShade="80"/>
          <w:spacing w:val="5"/>
          <w:sz w:val="18"/>
          <w:szCs w:val="18"/>
        </w:rPr>
        <w:t xml:space="preserve"> CV 1387/2020 de 13/05/2020</w:t>
      </w:r>
    </w:p>
    <w:p w14:paraId="10FD0777" w14:textId="5DAF612C"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r>
        <w:rPr>
          <w:rFonts w:ascii="Verdana" w:hAnsi="Verdana"/>
          <w:bCs/>
          <w:color w:val="212121"/>
          <w:spacing w:val="5"/>
          <w:sz w:val="18"/>
          <w:szCs w:val="18"/>
        </w:rPr>
        <w:t>L</w:t>
      </w:r>
      <w:r w:rsidRPr="00AC1B78">
        <w:rPr>
          <w:rFonts w:ascii="Verdana" w:hAnsi="Verdana"/>
          <w:bCs/>
          <w:color w:val="212121"/>
          <w:spacing w:val="5"/>
          <w:sz w:val="18"/>
          <w:szCs w:val="18"/>
        </w:rPr>
        <w:t xml:space="preserve">a DGT aclara que el estado de alarma </w:t>
      </w:r>
      <w:r w:rsidRPr="00AC1B78">
        <w:rPr>
          <w:rFonts w:ascii="Verdana" w:hAnsi="Verdana"/>
          <w:b/>
          <w:bCs/>
          <w:color w:val="212121"/>
          <w:spacing w:val="5"/>
          <w:sz w:val="18"/>
          <w:szCs w:val="18"/>
        </w:rPr>
        <w:t>no implica la inmovilización del vehículo</w:t>
      </w:r>
      <w:r w:rsidRPr="00AC1B78">
        <w:rPr>
          <w:rFonts w:ascii="Verdana" w:hAnsi="Verdana"/>
          <w:bCs/>
          <w:color w:val="212121"/>
          <w:spacing w:val="5"/>
          <w:sz w:val="18"/>
          <w:szCs w:val="18"/>
        </w:rPr>
        <w:t>, sino la limitación de los desplazamientos a los permitidos en dicho estado.</w:t>
      </w:r>
    </w:p>
    <w:p w14:paraId="56141235"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p>
    <w:p w14:paraId="15F123DF" w14:textId="77777777" w:rsidR="00AC1B78" w:rsidRDefault="00AC1B78" w:rsidP="00AC1B78">
      <w:pPr>
        <w:pStyle w:val="Sangradetextonormal"/>
        <w:tabs>
          <w:tab w:val="left" w:pos="284"/>
        </w:tabs>
        <w:ind w:left="284"/>
        <w:contextualSpacing/>
        <w:jc w:val="both"/>
        <w:rPr>
          <w:rFonts w:ascii="Verdana" w:hAnsi="Verdana"/>
          <w:bCs/>
          <w:color w:val="212121"/>
          <w:spacing w:val="5"/>
          <w:sz w:val="18"/>
          <w:szCs w:val="18"/>
        </w:rPr>
      </w:pPr>
      <w:r>
        <w:rPr>
          <w:rFonts w:ascii="Verdana" w:hAnsi="Verdana"/>
          <w:bCs/>
          <w:color w:val="212121"/>
          <w:spacing w:val="5"/>
          <w:sz w:val="18"/>
          <w:szCs w:val="18"/>
        </w:rPr>
        <w:t xml:space="preserve">Y añade que </w:t>
      </w:r>
      <w:r w:rsidRPr="00AC1B78">
        <w:rPr>
          <w:rFonts w:ascii="Verdana" w:hAnsi="Verdana"/>
          <w:bCs/>
          <w:color w:val="212121"/>
          <w:spacing w:val="5"/>
          <w:sz w:val="18"/>
          <w:szCs w:val="18"/>
        </w:rPr>
        <w:t xml:space="preserve">teniendo en cuenta el concepto de retribución en especie del art. 42.1 Ley 35/2006 (Ley IRPF), que exige "la utilización, consumo u obtención, para fines particulares, de bienes, derechos o servicios de forma gratuita o por precio inferior al normal de mercado, aun cuando no supongan un gasto real para quien las conceda", la imputación al contribuyente de la retribución en especie </w:t>
      </w:r>
      <w:r w:rsidRPr="00AC1B78">
        <w:rPr>
          <w:rFonts w:ascii="Verdana" w:hAnsi="Verdana"/>
          <w:b/>
          <w:bCs/>
          <w:color w:val="212121"/>
          <w:spacing w:val="5"/>
          <w:sz w:val="18"/>
          <w:szCs w:val="18"/>
        </w:rPr>
        <w:t>deriva de la obtención del derecho de uso del vehículo,</w:t>
      </w:r>
      <w:r w:rsidRPr="00AC1B78">
        <w:rPr>
          <w:rFonts w:ascii="Verdana" w:hAnsi="Verdana"/>
          <w:bCs/>
          <w:color w:val="212121"/>
          <w:spacing w:val="5"/>
          <w:sz w:val="18"/>
          <w:szCs w:val="18"/>
        </w:rPr>
        <w:t xml:space="preserve"> existiendo dicha retribución en la medida en que éste tenga la facultad de disponer del vehículo para usos particulares, con independencia de que exista o no una utilización efectiva para dichos fines. Con lo cual, procede la imputación de un rendimiento de trabajo en especie por el vehículo.</w:t>
      </w:r>
    </w:p>
    <w:p w14:paraId="43558B28" w14:textId="77777777" w:rsidR="00AC1B78" w:rsidRDefault="00AC1B78" w:rsidP="00AC1B78">
      <w:pPr>
        <w:pStyle w:val="Sangradetextonormal"/>
        <w:tabs>
          <w:tab w:val="left" w:pos="284"/>
        </w:tabs>
        <w:ind w:left="284"/>
        <w:contextualSpacing/>
        <w:jc w:val="both"/>
        <w:rPr>
          <w:rFonts w:ascii="Verdana" w:hAnsi="Verdana"/>
          <w:bCs/>
          <w:color w:val="212121"/>
          <w:spacing w:val="5"/>
          <w:sz w:val="18"/>
          <w:szCs w:val="18"/>
        </w:rPr>
      </w:pPr>
    </w:p>
    <w:p w14:paraId="43C84889" w14:textId="53441FB9" w:rsidR="00AC1B78" w:rsidRPr="00AC1B78" w:rsidRDefault="00AC1B78" w:rsidP="00AC1B78">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AC1B78">
        <w:rPr>
          <w:rFonts w:ascii="Verdana" w:hAnsi="Verdana"/>
          <w:b/>
          <w:bCs/>
          <w:color w:val="833C0B" w:themeColor="accent2" w:themeShade="80"/>
          <w:spacing w:val="5"/>
          <w:sz w:val="18"/>
          <w:szCs w:val="18"/>
        </w:rPr>
        <w:t>Procedencia de la imputación de rentas inmobiliarias por la segunda vivienda durante el estado de alarma</w:t>
      </w:r>
      <w:r>
        <w:rPr>
          <w:rFonts w:ascii="Verdana" w:hAnsi="Verdana"/>
          <w:b/>
          <w:bCs/>
          <w:color w:val="833C0B" w:themeColor="accent2" w:themeShade="80"/>
          <w:spacing w:val="5"/>
          <w:sz w:val="18"/>
          <w:szCs w:val="18"/>
        </w:rPr>
        <w:t xml:space="preserve"> CV 1368/2020 de 12/05/2020</w:t>
      </w:r>
    </w:p>
    <w:p w14:paraId="2765A8BB" w14:textId="72EB829B" w:rsidR="00AC1B78" w:rsidRPr="00AC1B78" w:rsidRDefault="00C96334" w:rsidP="00AC1B78">
      <w:pPr>
        <w:pStyle w:val="Sangradetextonormal"/>
        <w:tabs>
          <w:tab w:val="left" w:pos="284"/>
        </w:tabs>
        <w:ind w:left="284"/>
        <w:contextualSpacing/>
        <w:jc w:val="both"/>
        <w:rPr>
          <w:rFonts w:ascii="Verdana" w:hAnsi="Verdana"/>
          <w:bCs/>
          <w:color w:val="212121"/>
          <w:spacing w:val="5"/>
          <w:sz w:val="18"/>
          <w:szCs w:val="18"/>
        </w:rPr>
      </w:pPr>
      <w:r w:rsidRPr="00AC1B78">
        <w:rPr>
          <w:rFonts w:ascii="Verdana" w:hAnsi="Verdana"/>
          <w:bCs/>
          <w:color w:val="212121"/>
          <w:spacing w:val="5"/>
          <w:sz w:val="18"/>
          <w:szCs w:val="18"/>
        </w:rPr>
        <w:t>La</w:t>
      </w:r>
      <w:r w:rsidR="00AC1B78" w:rsidRPr="00AC1B78">
        <w:rPr>
          <w:rFonts w:ascii="Verdana" w:hAnsi="Verdana"/>
          <w:bCs/>
          <w:color w:val="212121"/>
          <w:spacing w:val="5"/>
          <w:sz w:val="18"/>
          <w:szCs w:val="18"/>
        </w:rPr>
        <w:t xml:space="preserve"> DGT analiza el supuesto de un propietario de una vivienda en la que no reside, a efectos de la imputación de rentas inmobiliarias, y si ha de excluirse el tiempo al que se extienda el estado de alarma derivado de la epidemia de COVID-19, teniendo en cuenta la obligación de confinamiento y limitación de desplazamientos que dicho estado implica.</w:t>
      </w:r>
    </w:p>
    <w:p w14:paraId="0206E3E1"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p>
    <w:p w14:paraId="5D60EF53"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r w:rsidRPr="00AC1B78">
        <w:rPr>
          <w:rFonts w:ascii="Verdana" w:hAnsi="Verdana"/>
          <w:bCs/>
          <w:color w:val="212121"/>
          <w:spacing w:val="5"/>
          <w:sz w:val="18"/>
          <w:szCs w:val="18"/>
        </w:rPr>
        <w:t xml:space="preserve">Con carácter general, la imputación de rentas inmobiliarias </w:t>
      </w:r>
      <w:r w:rsidRPr="00C96334">
        <w:rPr>
          <w:rFonts w:ascii="Verdana" w:hAnsi="Verdana"/>
          <w:b/>
          <w:bCs/>
          <w:color w:val="212121"/>
          <w:spacing w:val="5"/>
          <w:sz w:val="18"/>
          <w:szCs w:val="18"/>
        </w:rPr>
        <w:t>no tiene en cuenta la utilización efectiva de la segunda vivienda sino su disponibilidad a favor de su titular, sin que la Ley atienda a circunstancias que puedan afectar a dicha utilización</w:t>
      </w:r>
      <w:r w:rsidRPr="00AC1B78">
        <w:rPr>
          <w:rFonts w:ascii="Verdana" w:hAnsi="Verdana"/>
          <w:bCs/>
          <w:color w:val="212121"/>
          <w:spacing w:val="5"/>
          <w:sz w:val="18"/>
          <w:szCs w:val="18"/>
        </w:rPr>
        <w:t>, tales como la enfermedad, el trabajo u otras que determinen la no posibilidad de utilización de la segunda vivienda, al limitar la Ley los casos en los que no procede la imputación de rentas inmobiliarias únicamente a los siguientes: afectación del inmueble a una actividad económica, que el inmueble genere rendimientos de capital, que se encuentre en construcción y que no sea susceptible de uso por razones urbanísticas, sin que el supuesto al que se refiere la consulta corresponda a uno de ellos, por lo que no puede quedar excluido de la imputación.</w:t>
      </w:r>
    </w:p>
    <w:p w14:paraId="6ACA3305"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p>
    <w:p w14:paraId="6A143EED"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r w:rsidRPr="00AC1B78">
        <w:rPr>
          <w:rFonts w:ascii="Verdana" w:hAnsi="Verdana"/>
          <w:bCs/>
          <w:color w:val="212121"/>
          <w:spacing w:val="5"/>
          <w:sz w:val="18"/>
          <w:szCs w:val="18"/>
        </w:rPr>
        <w:t>Otro ejemplo de exclusión de este régimen es el caso de la consulta V1385-18, que se refiere a un inmueble vacío que es ocupado ilegalmente por terceros en contra de la voluntad del propietario, habiéndose iniciado un procedimiento de desahucio por el propietario del inmueble, concluyéndose la no imputación de rentas.</w:t>
      </w:r>
    </w:p>
    <w:p w14:paraId="25BEEA88" w14:textId="77777777" w:rsidR="00AC1B78" w:rsidRPr="00AC1B78" w:rsidRDefault="00AC1B78" w:rsidP="00AC1B78">
      <w:pPr>
        <w:pStyle w:val="Sangradetextonormal"/>
        <w:tabs>
          <w:tab w:val="left" w:pos="284"/>
        </w:tabs>
        <w:ind w:left="284"/>
        <w:contextualSpacing/>
        <w:jc w:val="both"/>
        <w:rPr>
          <w:rFonts w:ascii="Verdana" w:hAnsi="Verdana"/>
          <w:bCs/>
          <w:color w:val="212121"/>
          <w:spacing w:val="5"/>
          <w:sz w:val="18"/>
          <w:szCs w:val="18"/>
        </w:rPr>
      </w:pPr>
    </w:p>
    <w:p w14:paraId="3040DC70" w14:textId="2838347B" w:rsidR="00AC1B78" w:rsidRDefault="00AC1B78" w:rsidP="00AC1B78">
      <w:pPr>
        <w:pStyle w:val="Sangradetextonormal"/>
        <w:tabs>
          <w:tab w:val="left" w:pos="284"/>
        </w:tabs>
        <w:ind w:left="284"/>
        <w:contextualSpacing/>
        <w:jc w:val="both"/>
        <w:rPr>
          <w:rFonts w:ascii="Verdana" w:hAnsi="Verdana"/>
          <w:bCs/>
          <w:color w:val="212121"/>
          <w:spacing w:val="5"/>
          <w:sz w:val="18"/>
          <w:szCs w:val="18"/>
        </w:rPr>
      </w:pPr>
      <w:r w:rsidRPr="00AC1B78">
        <w:rPr>
          <w:rFonts w:ascii="Verdana" w:hAnsi="Verdana"/>
          <w:bCs/>
          <w:color w:val="212121"/>
          <w:spacing w:val="5"/>
          <w:sz w:val="18"/>
          <w:szCs w:val="18"/>
        </w:rPr>
        <w:t xml:space="preserve">Teniendo en cuenta todo ello, ha de concluirse que </w:t>
      </w:r>
      <w:r w:rsidRPr="00C96334">
        <w:rPr>
          <w:rFonts w:ascii="Verdana" w:hAnsi="Verdana"/>
          <w:b/>
          <w:bCs/>
          <w:color w:val="212121"/>
          <w:spacing w:val="5"/>
          <w:sz w:val="18"/>
          <w:szCs w:val="18"/>
        </w:rPr>
        <w:t>procede la imputación de rentas inmobiliarias durante el estado de alarma por la vivienda de la que se es propietario si no está afecta a una actividad económica ni es generadora de rendimientos del capital</w:t>
      </w:r>
      <w:r w:rsidRPr="00AC1B78">
        <w:rPr>
          <w:rFonts w:ascii="Verdana" w:hAnsi="Verdana"/>
          <w:bCs/>
          <w:color w:val="212121"/>
          <w:spacing w:val="5"/>
          <w:sz w:val="18"/>
          <w:szCs w:val="18"/>
        </w:rPr>
        <w:t>.</w:t>
      </w:r>
    </w:p>
    <w:p w14:paraId="6B7E88BD" w14:textId="77777777" w:rsidR="00C96334" w:rsidRDefault="00C96334" w:rsidP="00AC1B78">
      <w:pPr>
        <w:pStyle w:val="Sangradetextonormal"/>
        <w:tabs>
          <w:tab w:val="left" w:pos="284"/>
        </w:tabs>
        <w:ind w:left="284"/>
        <w:contextualSpacing/>
        <w:jc w:val="both"/>
        <w:rPr>
          <w:rFonts w:ascii="Verdana" w:hAnsi="Verdana"/>
          <w:bCs/>
          <w:color w:val="212121"/>
          <w:spacing w:val="5"/>
          <w:sz w:val="18"/>
          <w:szCs w:val="18"/>
        </w:rPr>
      </w:pPr>
    </w:p>
    <w:p w14:paraId="70509C5D" w14:textId="6E75095F" w:rsidR="00C96334" w:rsidRDefault="00C96334" w:rsidP="00AC1B78">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C96334">
        <w:rPr>
          <w:rFonts w:ascii="Verdana" w:hAnsi="Verdana"/>
          <w:b/>
          <w:bCs/>
          <w:color w:val="833C0B" w:themeColor="accent2" w:themeShade="80"/>
          <w:spacing w:val="5"/>
          <w:sz w:val="18"/>
          <w:szCs w:val="18"/>
        </w:rPr>
        <w:t>Plazo de los seis meses relativo a la exención por reinversión en rentas vitalicias suspendido durante el estado de alarma</w:t>
      </w:r>
      <w:r>
        <w:rPr>
          <w:rFonts w:ascii="Verdana" w:hAnsi="Verdana"/>
          <w:b/>
          <w:bCs/>
          <w:color w:val="833C0B" w:themeColor="accent2" w:themeShade="80"/>
          <w:spacing w:val="5"/>
          <w:sz w:val="18"/>
          <w:szCs w:val="18"/>
        </w:rPr>
        <w:t xml:space="preserve"> CV 1324/</w:t>
      </w:r>
      <w:r w:rsidR="008A33E3">
        <w:rPr>
          <w:rFonts w:ascii="Verdana" w:hAnsi="Verdana"/>
          <w:b/>
          <w:bCs/>
          <w:color w:val="833C0B" w:themeColor="accent2" w:themeShade="80"/>
          <w:spacing w:val="5"/>
          <w:sz w:val="18"/>
          <w:szCs w:val="18"/>
        </w:rPr>
        <w:t>20</w:t>
      </w:r>
      <w:r>
        <w:rPr>
          <w:rFonts w:ascii="Verdana" w:hAnsi="Verdana"/>
          <w:b/>
          <w:bCs/>
          <w:color w:val="833C0B" w:themeColor="accent2" w:themeShade="80"/>
          <w:spacing w:val="5"/>
          <w:sz w:val="18"/>
          <w:szCs w:val="18"/>
        </w:rPr>
        <w:t>20 de 08/05/2020</w:t>
      </w:r>
    </w:p>
    <w:p w14:paraId="3613B58A" w14:textId="03890847" w:rsidR="00C96334" w:rsidRPr="00C96334" w:rsidRDefault="00C96334" w:rsidP="00C96334">
      <w:pPr>
        <w:pStyle w:val="Sangradetextonormal"/>
        <w:tabs>
          <w:tab w:val="left" w:pos="284"/>
        </w:tabs>
        <w:ind w:left="284"/>
        <w:contextualSpacing/>
        <w:jc w:val="both"/>
        <w:rPr>
          <w:rFonts w:ascii="Verdana" w:hAnsi="Verdana"/>
          <w:bCs/>
          <w:color w:val="212121"/>
          <w:spacing w:val="5"/>
          <w:sz w:val="18"/>
          <w:szCs w:val="18"/>
        </w:rPr>
      </w:pPr>
      <w:r>
        <w:rPr>
          <w:rFonts w:ascii="Verdana" w:hAnsi="Verdana"/>
          <w:bCs/>
          <w:color w:val="212121"/>
          <w:spacing w:val="5"/>
          <w:sz w:val="18"/>
          <w:szCs w:val="18"/>
        </w:rPr>
        <w:t>En la consulta planteada, e</w:t>
      </w:r>
      <w:r w:rsidRPr="00C96334">
        <w:rPr>
          <w:rFonts w:ascii="Verdana" w:hAnsi="Verdana"/>
          <w:bCs/>
          <w:color w:val="212121"/>
          <w:spacing w:val="5"/>
          <w:sz w:val="18"/>
          <w:szCs w:val="18"/>
        </w:rPr>
        <w:t>l contribuyente vendió sus participaciones en una sociedad mercantil el 26 de septiembre de 2019, obteniendo con ello una ganancia patrimonial. A fin de aplicar a la ganancia patrimonial la exención por reinversión en rentas vitalicias, tenía previsto la constitución de un producto de dichas características dentro del plazo de seis meses; plazo que finalizaba durante la vigencia del estado de alarma declarado por la situación de crisis sanitaria provocada por el COVID-19, por lo que no ha podido realizar la constitución de la renta vitalicia.</w:t>
      </w:r>
    </w:p>
    <w:p w14:paraId="2D284766" w14:textId="77777777" w:rsidR="00C96334" w:rsidRPr="00C96334" w:rsidRDefault="00C96334" w:rsidP="00C96334">
      <w:pPr>
        <w:pStyle w:val="Sangradetextonormal"/>
        <w:tabs>
          <w:tab w:val="left" w:pos="284"/>
        </w:tabs>
        <w:ind w:left="284"/>
        <w:contextualSpacing/>
        <w:jc w:val="both"/>
        <w:rPr>
          <w:rFonts w:ascii="Verdana" w:hAnsi="Verdana"/>
          <w:bCs/>
          <w:color w:val="212121"/>
          <w:spacing w:val="5"/>
          <w:sz w:val="18"/>
          <w:szCs w:val="18"/>
        </w:rPr>
      </w:pPr>
    </w:p>
    <w:p w14:paraId="7D47ECD7" w14:textId="630D628B" w:rsidR="00C96334" w:rsidRPr="00C96334" w:rsidRDefault="00C96334" w:rsidP="00C96334">
      <w:pPr>
        <w:pStyle w:val="Sangradetextonormal"/>
        <w:tabs>
          <w:tab w:val="left" w:pos="284"/>
        </w:tabs>
        <w:ind w:left="284"/>
        <w:contextualSpacing/>
        <w:jc w:val="both"/>
        <w:rPr>
          <w:rFonts w:ascii="Verdana" w:hAnsi="Verdana"/>
          <w:bCs/>
          <w:color w:val="212121"/>
          <w:spacing w:val="5"/>
          <w:sz w:val="18"/>
          <w:szCs w:val="18"/>
        </w:rPr>
      </w:pPr>
      <w:r w:rsidRPr="00C96334">
        <w:rPr>
          <w:rFonts w:ascii="Verdana" w:hAnsi="Verdana"/>
          <w:bCs/>
          <w:color w:val="212121"/>
          <w:spacing w:val="5"/>
          <w:sz w:val="18"/>
          <w:szCs w:val="18"/>
        </w:rPr>
        <w:t xml:space="preserve">Respecto de esta situación, se ha de tener en cuenta que desde la entrada en vigor del RD 463/2020 (Declaración del estado de alarma para la gestión de la situación de crisis sanitaria ocasionada por el COVID-19), </w:t>
      </w:r>
      <w:r w:rsidRPr="00C96334">
        <w:rPr>
          <w:rFonts w:ascii="Verdana" w:hAnsi="Verdana"/>
          <w:b/>
          <w:bCs/>
          <w:color w:val="212121"/>
          <w:spacing w:val="5"/>
          <w:sz w:val="18"/>
          <w:szCs w:val="18"/>
        </w:rPr>
        <w:t>hasta el 30 de abril de 2020 quedan suspendidos los plazos de prescripción y caducidad de cualesquiera acciones y derechos contemplados en la normativa tributaria</w:t>
      </w:r>
      <w:r w:rsidRPr="00C96334">
        <w:rPr>
          <w:rFonts w:ascii="Verdana" w:hAnsi="Verdana"/>
          <w:bCs/>
          <w:color w:val="212121"/>
          <w:spacing w:val="5"/>
          <w:sz w:val="18"/>
          <w:szCs w:val="18"/>
        </w:rPr>
        <w:t>. Además, las referencias temporales efectuadas a los días 30 de abril y 20 de mayo de 2020 en el art. 33 del RD-</w:t>
      </w:r>
      <w:r w:rsidR="00A54D7A" w:rsidRPr="00C96334">
        <w:rPr>
          <w:rFonts w:ascii="Verdana" w:hAnsi="Verdana"/>
          <w:bCs/>
          <w:color w:val="212121"/>
          <w:spacing w:val="5"/>
          <w:sz w:val="18"/>
          <w:szCs w:val="18"/>
        </w:rPr>
        <w:t>Ley 8</w:t>
      </w:r>
      <w:r w:rsidRPr="00C96334">
        <w:rPr>
          <w:rFonts w:ascii="Verdana" w:hAnsi="Verdana"/>
          <w:bCs/>
          <w:color w:val="212121"/>
          <w:spacing w:val="5"/>
          <w:sz w:val="18"/>
          <w:szCs w:val="18"/>
        </w:rPr>
        <w:t xml:space="preserve">/2020 (Medidas urgentes extraordinarias para hacer frente al impacto económico y social del COVID-19), y en las disp. </w:t>
      </w:r>
      <w:proofErr w:type="spellStart"/>
      <w:r w:rsidRPr="00C96334">
        <w:rPr>
          <w:rFonts w:ascii="Verdana" w:hAnsi="Verdana"/>
          <w:bCs/>
          <w:color w:val="212121"/>
          <w:spacing w:val="5"/>
          <w:sz w:val="18"/>
          <w:szCs w:val="18"/>
        </w:rPr>
        <w:t>adic</w:t>
      </w:r>
      <w:proofErr w:type="spellEnd"/>
      <w:r w:rsidRPr="00C96334">
        <w:rPr>
          <w:rFonts w:ascii="Verdana" w:hAnsi="Verdana"/>
          <w:bCs/>
          <w:color w:val="212121"/>
          <w:spacing w:val="5"/>
          <w:sz w:val="18"/>
          <w:szCs w:val="18"/>
        </w:rPr>
        <w:t>. octava y novena del RD-Ley 11/2020 (Medidas urgentes complementarias en el ámbito social y económico para hacer frente al COVID-19), se entenderán realizadas al día 30 de mayo de 2020.</w:t>
      </w:r>
    </w:p>
    <w:p w14:paraId="4B55FDAC" w14:textId="77777777" w:rsidR="00C96334" w:rsidRPr="00C96334" w:rsidRDefault="00C96334" w:rsidP="00C96334">
      <w:pPr>
        <w:pStyle w:val="Sangradetextonormal"/>
        <w:tabs>
          <w:tab w:val="left" w:pos="284"/>
        </w:tabs>
        <w:ind w:left="284"/>
        <w:contextualSpacing/>
        <w:jc w:val="both"/>
        <w:rPr>
          <w:rFonts w:ascii="Verdana" w:hAnsi="Verdana"/>
          <w:bCs/>
          <w:color w:val="212121"/>
          <w:spacing w:val="5"/>
          <w:sz w:val="18"/>
          <w:szCs w:val="18"/>
        </w:rPr>
      </w:pPr>
    </w:p>
    <w:p w14:paraId="0171D7C2" w14:textId="69549D74" w:rsidR="00C96334" w:rsidRDefault="00C96334" w:rsidP="00C96334">
      <w:pPr>
        <w:pStyle w:val="Sangradetextonormal"/>
        <w:tabs>
          <w:tab w:val="left" w:pos="284"/>
        </w:tabs>
        <w:ind w:left="284"/>
        <w:contextualSpacing/>
        <w:jc w:val="both"/>
        <w:rPr>
          <w:rFonts w:ascii="Verdana" w:hAnsi="Verdana"/>
          <w:bCs/>
          <w:color w:val="212121"/>
          <w:spacing w:val="5"/>
          <w:sz w:val="18"/>
          <w:szCs w:val="18"/>
        </w:rPr>
      </w:pPr>
      <w:r w:rsidRPr="00C96334">
        <w:rPr>
          <w:rFonts w:ascii="Verdana" w:hAnsi="Verdana"/>
          <w:bCs/>
          <w:color w:val="212121"/>
          <w:spacing w:val="5"/>
          <w:sz w:val="18"/>
          <w:szCs w:val="18"/>
        </w:rPr>
        <w:t xml:space="preserve">Por tanto, tal y como establecen los citados </w:t>
      </w:r>
      <w:r w:rsidR="00DE6ACA">
        <w:rPr>
          <w:rFonts w:ascii="Verdana" w:hAnsi="Verdana"/>
          <w:bCs/>
          <w:color w:val="212121"/>
          <w:spacing w:val="5"/>
          <w:sz w:val="18"/>
          <w:szCs w:val="18"/>
        </w:rPr>
        <w:t>Re</w:t>
      </w:r>
      <w:r w:rsidRPr="00C96334">
        <w:rPr>
          <w:rFonts w:ascii="Verdana" w:hAnsi="Verdana"/>
          <w:bCs/>
          <w:color w:val="212121"/>
          <w:spacing w:val="5"/>
          <w:sz w:val="18"/>
          <w:szCs w:val="18"/>
        </w:rPr>
        <w:t xml:space="preserve">ales </w:t>
      </w:r>
      <w:r w:rsidR="00DE6ACA">
        <w:rPr>
          <w:rFonts w:ascii="Verdana" w:hAnsi="Verdana"/>
          <w:bCs/>
          <w:color w:val="212121"/>
          <w:spacing w:val="5"/>
          <w:sz w:val="18"/>
          <w:szCs w:val="18"/>
        </w:rPr>
        <w:t>D</w:t>
      </w:r>
      <w:r w:rsidRPr="00C96334">
        <w:rPr>
          <w:rFonts w:ascii="Verdana" w:hAnsi="Verdana"/>
          <w:bCs/>
          <w:color w:val="212121"/>
          <w:spacing w:val="5"/>
          <w:sz w:val="18"/>
          <w:szCs w:val="18"/>
        </w:rPr>
        <w:t>ecretos</w:t>
      </w:r>
      <w:r w:rsidR="00DE6ACA">
        <w:rPr>
          <w:rFonts w:ascii="Verdana" w:hAnsi="Verdana"/>
          <w:bCs/>
          <w:color w:val="212121"/>
          <w:spacing w:val="5"/>
          <w:sz w:val="18"/>
          <w:szCs w:val="18"/>
        </w:rPr>
        <w:t>-</w:t>
      </w:r>
      <w:r w:rsidRPr="00C96334">
        <w:rPr>
          <w:rFonts w:ascii="Verdana" w:hAnsi="Verdana"/>
          <w:bCs/>
          <w:color w:val="212121"/>
          <w:spacing w:val="5"/>
          <w:sz w:val="18"/>
          <w:szCs w:val="18"/>
        </w:rPr>
        <w:t xml:space="preserve">ley, </w:t>
      </w:r>
      <w:r w:rsidRPr="00C96334">
        <w:rPr>
          <w:rFonts w:ascii="Verdana" w:hAnsi="Verdana"/>
          <w:b/>
          <w:bCs/>
          <w:color w:val="212121"/>
          <w:spacing w:val="5"/>
          <w:sz w:val="18"/>
          <w:szCs w:val="18"/>
        </w:rPr>
        <w:t>a efectos del plazo de seis meses previsto para la reinversión en renta vitalicia, se paraliza el cómputo de dicho plazo desde el 14 de marzo de 2020 hasta el 30 de mayo de 2020</w:t>
      </w:r>
      <w:r w:rsidRPr="00C96334">
        <w:rPr>
          <w:rFonts w:ascii="Verdana" w:hAnsi="Verdana"/>
          <w:bCs/>
          <w:color w:val="212121"/>
          <w:spacing w:val="5"/>
          <w:sz w:val="18"/>
          <w:szCs w:val="18"/>
        </w:rPr>
        <w:t>.</w:t>
      </w:r>
    </w:p>
    <w:p w14:paraId="41DA4A24" w14:textId="77777777" w:rsidR="008A33E3" w:rsidRDefault="008A33E3" w:rsidP="00C96334">
      <w:pPr>
        <w:pStyle w:val="Sangradetextonormal"/>
        <w:tabs>
          <w:tab w:val="left" w:pos="284"/>
        </w:tabs>
        <w:ind w:left="284"/>
        <w:contextualSpacing/>
        <w:jc w:val="both"/>
        <w:rPr>
          <w:rFonts w:ascii="Verdana" w:hAnsi="Verdana"/>
          <w:bCs/>
          <w:color w:val="212121"/>
          <w:spacing w:val="5"/>
          <w:sz w:val="18"/>
          <w:szCs w:val="18"/>
        </w:rPr>
      </w:pPr>
    </w:p>
    <w:p w14:paraId="6E5B190C" w14:textId="1AF57F3E" w:rsidR="008A33E3" w:rsidRDefault="008A33E3" w:rsidP="00C96334">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8A33E3">
        <w:rPr>
          <w:rFonts w:ascii="Verdana" w:hAnsi="Verdana"/>
          <w:b/>
          <w:bCs/>
          <w:color w:val="833C0B" w:themeColor="accent2" w:themeShade="80"/>
          <w:spacing w:val="5"/>
          <w:sz w:val="18"/>
          <w:szCs w:val="18"/>
        </w:rPr>
        <w:t>No estarán sujetos al IVA los autoconsumos derivados de la condonación de la renta de un local de negocios durante el estado de alarma</w:t>
      </w:r>
      <w:r>
        <w:rPr>
          <w:rFonts w:ascii="Verdana" w:hAnsi="Verdana"/>
          <w:b/>
          <w:bCs/>
          <w:color w:val="833C0B" w:themeColor="accent2" w:themeShade="80"/>
          <w:spacing w:val="5"/>
          <w:sz w:val="18"/>
          <w:szCs w:val="18"/>
        </w:rPr>
        <w:t xml:space="preserve"> CV 2053/2020 de 23/06/2020</w:t>
      </w:r>
    </w:p>
    <w:p w14:paraId="0B5885C2" w14:textId="5F7CB099" w:rsidR="00957E6D" w:rsidRDefault="00957E6D" w:rsidP="00C96334">
      <w:pPr>
        <w:pStyle w:val="Sangradetextonormal"/>
        <w:tabs>
          <w:tab w:val="left" w:pos="284"/>
        </w:tabs>
        <w:ind w:left="284"/>
        <w:contextualSpacing/>
        <w:jc w:val="both"/>
        <w:rPr>
          <w:rFonts w:ascii="Verdana" w:hAnsi="Verdana"/>
          <w:bCs/>
          <w:color w:val="212121"/>
          <w:spacing w:val="5"/>
          <w:sz w:val="18"/>
          <w:szCs w:val="18"/>
        </w:rPr>
      </w:pPr>
      <w:r w:rsidRPr="0017389A">
        <w:rPr>
          <w:rFonts w:ascii="Verdana" w:hAnsi="Verdana"/>
          <w:bCs/>
          <w:color w:val="212121"/>
          <w:spacing w:val="5"/>
          <w:sz w:val="18"/>
          <w:szCs w:val="18"/>
        </w:rPr>
        <w:t xml:space="preserve">En el caso analizado, una persona física es propietaria de un local comercial que tiene arrendado y que se encuentra destinado a la actividad de cafetería, y como </w:t>
      </w:r>
      <w:r w:rsidRPr="0017389A">
        <w:rPr>
          <w:rFonts w:ascii="Verdana" w:hAnsi="Verdana"/>
          <w:bCs/>
          <w:color w:val="212121"/>
          <w:spacing w:val="5"/>
          <w:sz w:val="18"/>
          <w:szCs w:val="18"/>
        </w:rPr>
        <w:lastRenderedPageBreak/>
        <w:t>consecuencia del estado de alarma, decide que no va a cobrarle al arrendatario la renta correspondiente a varias mensualidades.</w:t>
      </w:r>
    </w:p>
    <w:p w14:paraId="4D8FC342" w14:textId="77777777" w:rsidR="00957E6D" w:rsidRDefault="00957E6D" w:rsidP="00C96334">
      <w:pPr>
        <w:pStyle w:val="Sangradetextonormal"/>
        <w:tabs>
          <w:tab w:val="left" w:pos="284"/>
        </w:tabs>
        <w:ind w:left="284"/>
        <w:contextualSpacing/>
        <w:jc w:val="both"/>
        <w:rPr>
          <w:rFonts w:ascii="Verdana" w:hAnsi="Verdana"/>
          <w:b/>
          <w:bCs/>
          <w:color w:val="833C0B" w:themeColor="accent2" w:themeShade="80"/>
          <w:spacing w:val="5"/>
          <w:sz w:val="18"/>
          <w:szCs w:val="18"/>
        </w:rPr>
      </w:pPr>
    </w:p>
    <w:p w14:paraId="25C3D38D" w14:textId="5B1FA765" w:rsidR="0017389A" w:rsidRPr="0017389A" w:rsidRDefault="0017389A" w:rsidP="0017389A">
      <w:pPr>
        <w:pStyle w:val="Sangradetextonormal"/>
        <w:tabs>
          <w:tab w:val="left" w:pos="284"/>
        </w:tabs>
        <w:ind w:left="284"/>
        <w:contextualSpacing/>
        <w:jc w:val="both"/>
        <w:rPr>
          <w:rFonts w:ascii="Verdana" w:hAnsi="Verdana"/>
          <w:bCs/>
          <w:color w:val="212121"/>
          <w:spacing w:val="5"/>
          <w:sz w:val="18"/>
          <w:szCs w:val="18"/>
        </w:rPr>
      </w:pPr>
      <w:r w:rsidRPr="0017389A">
        <w:rPr>
          <w:rFonts w:ascii="Verdana" w:hAnsi="Verdana"/>
          <w:bCs/>
          <w:color w:val="212121"/>
          <w:spacing w:val="5"/>
          <w:sz w:val="18"/>
          <w:szCs w:val="18"/>
        </w:rPr>
        <w:t xml:space="preserve">La Dirección General de Tributos, </w:t>
      </w:r>
      <w:r w:rsidR="00957E6D">
        <w:rPr>
          <w:rFonts w:ascii="Verdana" w:hAnsi="Verdana"/>
          <w:bCs/>
          <w:color w:val="212121"/>
          <w:spacing w:val="5"/>
          <w:sz w:val="18"/>
          <w:szCs w:val="18"/>
        </w:rPr>
        <w:t>en la consulta comentada</w:t>
      </w:r>
      <w:r w:rsidRPr="0017389A">
        <w:rPr>
          <w:rFonts w:ascii="Verdana" w:hAnsi="Verdana"/>
          <w:bCs/>
          <w:color w:val="212121"/>
          <w:spacing w:val="5"/>
          <w:sz w:val="18"/>
          <w:szCs w:val="18"/>
        </w:rPr>
        <w:t xml:space="preserve">, establece que </w:t>
      </w:r>
      <w:r w:rsidRPr="00957E6D">
        <w:rPr>
          <w:rFonts w:ascii="Verdana" w:hAnsi="Verdana"/>
          <w:b/>
          <w:bCs/>
          <w:color w:val="212121"/>
          <w:spacing w:val="5"/>
          <w:sz w:val="18"/>
          <w:szCs w:val="18"/>
        </w:rPr>
        <w:t>no estarán sujetos al IVA los autoconsumos derivados de la condonación de la renta de un local de negocios cuando el arrendatario no pueda realizar actividad económi</w:t>
      </w:r>
      <w:r w:rsidRPr="0017389A">
        <w:rPr>
          <w:rFonts w:ascii="Verdana" w:hAnsi="Verdana"/>
          <w:bCs/>
          <w:color w:val="212121"/>
          <w:spacing w:val="5"/>
          <w:sz w:val="18"/>
          <w:szCs w:val="18"/>
        </w:rPr>
        <w:t>ca alguna en el mismo por aplicación de las disposiciones establecidas durante la vigencia del estado de alarma.</w:t>
      </w:r>
    </w:p>
    <w:p w14:paraId="64979F5D" w14:textId="77777777" w:rsidR="0017389A" w:rsidRDefault="0017389A" w:rsidP="0017389A">
      <w:pPr>
        <w:pStyle w:val="Sangradetextonormal"/>
        <w:tabs>
          <w:tab w:val="left" w:pos="284"/>
        </w:tabs>
        <w:ind w:left="284"/>
        <w:contextualSpacing/>
        <w:jc w:val="both"/>
        <w:rPr>
          <w:rFonts w:ascii="Verdana" w:hAnsi="Verdana"/>
          <w:bCs/>
          <w:color w:val="212121"/>
          <w:spacing w:val="5"/>
          <w:sz w:val="18"/>
          <w:szCs w:val="18"/>
        </w:rPr>
      </w:pPr>
    </w:p>
    <w:p w14:paraId="31CE2073" w14:textId="77777777" w:rsidR="005B6D50" w:rsidRPr="0017389A" w:rsidRDefault="005B6D50" w:rsidP="0017389A">
      <w:pPr>
        <w:pStyle w:val="Sangradetextonormal"/>
        <w:tabs>
          <w:tab w:val="left" w:pos="284"/>
        </w:tabs>
        <w:ind w:left="284"/>
        <w:contextualSpacing/>
        <w:jc w:val="both"/>
        <w:rPr>
          <w:rFonts w:ascii="Verdana" w:hAnsi="Verdana"/>
          <w:bCs/>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5B6D50" w:rsidRPr="00217814" w14:paraId="1DFE8EDC" w14:textId="77777777" w:rsidTr="00A82390">
        <w:tc>
          <w:tcPr>
            <w:tcW w:w="180" w:type="dxa"/>
            <w:shd w:val="clear" w:color="auto" w:fill="FF6600"/>
          </w:tcPr>
          <w:p w14:paraId="49BB4EE2" w14:textId="77777777" w:rsidR="005B6D50" w:rsidRPr="00217814" w:rsidRDefault="005B6D50" w:rsidP="00A82390">
            <w:pPr>
              <w:rPr>
                <w:rFonts w:ascii="Verdana" w:hAnsi="Verdana"/>
                <w:b/>
                <w:bCs/>
                <w:color w:val="800000"/>
                <w:sz w:val="18"/>
                <w:szCs w:val="18"/>
              </w:rPr>
            </w:pPr>
            <w:bookmarkStart w:id="1" w:name="_Hlk48587670"/>
          </w:p>
          <w:p w14:paraId="1072715D" w14:textId="77777777" w:rsidR="005B6D50" w:rsidRPr="00217814" w:rsidRDefault="005B6D50" w:rsidP="00A82390">
            <w:pPr>
              <w:rPr>
                <w:rFonts w:ascii="Verdana" w:hAnsi="Verdana"/>
                <w:b/>
                <w:bCs/>
                <w:color w:val="800000"/>
                <w:sz w:val="18"/>
                <w:szCs w:val="18"/>
              </w:rPr>
            </w:pPr>
          </w:p>
        </w:tc>
        <w:tc>
          <w:tcPr>
            <w:tcW w:w="8460" w:type="dxa"/>
          </w:tcPr>
          <w:p w14:paraId="1173AE9E" w14:textId="176FB80E" w:rsidR="005B6D50" w:rsidRPr="00217814" w:rsidRDefault="00A506EF" w:rsidP="005B6D50">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217814">
              <w:rPr>
                <w:rFonts w:ascii="Verdana" w:hAnsi="Verdana"/>
                <w:b/>
                <w:bCs/>
                <w:iCs/>
                <w:color w:val="800000"/>
                <w:sz w:val="18"/>
                <w:szCs w:val="18"/>
              </w:rPr>
              <w:t>MEDIDAS FISCALES QUE SE CONTEMPLAN EN EL REAL DECRETO-LEY 27/2020, DE 4 DE AGOSTO, DE MEDIDAS FINANCIERAS, DE CARÁCTER EXTRAORDINARIO Y URGENTE, APLICABLES A LAS ENTIDADES PARA COMBATIR LOS EFECTOS DEL COVID-19</w:t>
            </w:r>
            <w:r w:rsidR="005B6D50" w:rsidRPr="00217814">
              <w:rPr>
                <w:rFonts w:ascii="Verdana" w:hAnsi="Verdana"/>
                <w:b/>
                <w:bCs/>
                <w:color w:val="800000"/>
                <w:sz w:val="18"/>
                <w:szCs w:val="18"/>
              </w:rPr>
              <w:t xml:space="preserve">  </w:t>
            </w:r>
          </w:p>
        </w:tc>
      </w:tr>
      <w:bookmarkEnd w:id="1"/>
    </w:tbl>
    <w:p w14:paraId="7F809AEE" w14:textId="77777777" w:rsidR="005B6D50" w:rsidRDefault="005B6D50" w:rsidP="005B6D50">
      <w:pPr>
        <w:pStyle w:val="Sangradetextonormal"/>
        <w:tabs>
          <w:tab w:val="left" w:pos="0"/>
        </w:tabs>
        <w:ind w:left="0"/>
        <w:contextualSpacing/>
        <w:jc w:val="both"/>
        <w:rPr>
          <w:rFonts w:ascii="Verdana" w:hAnsi="Verdana"/>
          <w:bCs/>
          <w:color w:val="212121"/>
          <w:spacing w:val="5"/>
          <w:sz w:val="18"/>
          <w:szCs w:val="18"/>
        </w:rPr>
      </w:pPr>
    </w:p>
    <w:p w14:paraId="19A9BD77"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r w:rsidRPr="00A506EF">
        <w:rPr>
          <w:rFonts w:ascii="Verdana" w:hAnsi="Verdana"/>
          <w:bCs/>
          <w:color w:val="212121"/>
          <w:spacing w:val="5"/>
          <w:sz w:val="18"/>
          <w:szCs w:val="18"/>
        </w:rPr>
        <w:t>En el BOE de 5 de agosto de 2020, se ha publicado el Real Decreto-ley 27/2020, de 4 de agosto, de medidas financieras, de carácter extraordinario y urgente, aplicables a las entidades locales (RDL 27/2020). Esta norma recoge el acuerdo alcanzado entre el Ministerio de Hacienda y la Federación Española de Municipios y Provincias (FEMP), que permitirá movilizar hasta 5.000 millones para los ayuntamientos con remanentes de tesorería y destinarlos a programas de cuidados de proximidad, movilidad, vivienda, desarrollo sostenible y promoción de la actividad cultural.</w:t>
      </w:r>
    </w:p>
    <w:p w14:paraId="1FD64411"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79FDFEBD"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r w:rsidRPr="00A506EF">
        <w:rPr>
          <w:rFonts w:ascii="Verdana" w:hAnsi="Verdana"/>
          <w:bCs/>
          <w:color w:val="212121"/>
          <w:spacing w:val="5"/>
          <w:sz w:val="18"/>
          <w:szCs w:val="18"/>
        </w:rPr>
        <w:t xml:space="preserve">Por lo que al ámbito tributario se refiere son tres las medidas que se recogen: se prorroga hasta el 31 de octubre el tipo impositivo del 0% de IVA aplicable a las entregas, importaciones y adquisiciones intracomunitarias de bienes necesarios para combatir los efectos del COVID-19; se establece un régimen fiscal específico aplicable a la final de la «UEFA </w:t>
      </w:r>
      <w:proofErr w:type="spellStart"/>
      <w:r w:rsidRPr="00A506EF">
        <w:rPr>
          <w:rFonts w:ascii="Verdana" w:hAnsi="Verdana"/>
          <w:bCs/>
          <w:color w:val="212121"/>
          <w:spacing w:val="5"/>
          <w:sz w:val="18"/>
          <w:szCs w:val="18"/>
        </w:rPr>
        <w:t>Women's</w:t>
      </w:r>
      <w:proofErr w:type="spellEnd"/>
      <w:r w:rsidRPr="00A506EF">
        <w:rPr>
          <w:rFonts w:ascii="Verdana" w:hAnsi="Verdana"/>
          <w:bCs/>
          <w:color w:val="212121"/>
          <w:spacing w:val="5"/>
          <w:sz w:val="18"/>
          <w:szCs w:val="18"/>
        </w:rPr>
        <w:t xml:space="preserve"> Champions League 2020» y se declaran exentas de AJD las escrituras de formalización de las moratorias de préstamos y créditos hipotecarios y de arrendamientos, préstamos, leasing y renting sin garantía hipotecaria que se produzcan en aplicación de las moratorias hipotecarias para el sector turístico y para el sector del transporte público de mercancías y discrecional de viajeros en autobús.</w:t>
      </w:r>
    </w:p>
    <w:p w14:paraId="20228C34"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68695DD0" w14:textId="77777777" w:rsidR="00A506EF" w:rsidRPr="00A506EF" w:rsidRDefault="00A506EF" w:rsidP="00A506EF">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A506EF">
        <w:rPr>
          <w:rFonts w:ascii="Verdana" w:hAnsi="Verdana"/>
          <w:b/>
          <w:bCs/>
          <w:color w:val="833C0B" w:themeColor="accent2" w:themeShade="80"/>
          <w:spacing w:val="5"/>
          <w:sz w:val="18"/>
          <w:szCs w:val="18"/>
        </w:rPr>
        <w:t>IVA a tipo cero en la entrega de material sanitario</w:t>
      </w:r>
    </w:p>
    <w:p w14:paraId="2B0CEDA7"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r w:rsidRPr="00A506EF">
        <w:rPr>
          <w:rFonts w:ascii="Verdana" w:hAnsi="Verdana"/>
          <w:bCs/>
          <w:color w:val="212121"/>
          <w:spacing w:val="5"/>
          <w:sz w:val="18"/>
          <w:szCs w:val="18"/>
        </w:rPr>
        <w:t>Como es conocido, el Real Decreto Ley 15/2020, de 21 de abril, de medidas urgentes complementarias para apoyar la economía y el empleo estableció en su artículo 8 la aplicación, desde el 23 de abril y hasta el 31 de julio de 2020, del tipo impositivo del 0% del IVA a las entregas de bienes, importaciones y adquisiciones intracomunitarias de bienes referidos en el Anexo del citado Real Decreto-Ley, cuyos destinatarios sean entidades de Derecho Público, clínicas o centros hospitalarios, o entidades privadas de carácter social del art. 20. Tres de la LIVA.</w:t>
      </w:r>
    </w:p>
    <w:p w14:paraId="2A05D8C4"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3D599A6A" w14:textId="1A5111A9" w:rsidR="00A506EF" w:rsidRPr="00A506EF" w:rsidRDefault="00562A05" w:rsidP="00A506EF">
      <w:pPr>
        <w:pStyle w:val="Sangradetextonormal"/>
        <w:tabs>
          <w:tab w:val="left" w:pos="284"/>
        </w:tabs>
        <w:ind w:left="284"/>
        <w:contextualSpacing/>
        <w:jc w:val="both"/>
        <w:rPr>
          <w:rFonts w:ascii="Verdana" w:hAnsi="Verdana"/>
          <w:bCs/>
          <w:color w:val="212121"/>
          <w:spacing w:val="5"/>
          <w:sz w:val="18"/>
          <w:szCs w:val="18"/>
        </w:rPr>
      </w:pPr>
      <w:r>
        <w:rPr>
          <w:rFonts w:ascii="Verdana" w:hAnsi="Verdana"/>
          <w:bCs/>
          <w:color w:val="212121"/>
          <w:spacing w:val="5"/>
          <w:sz w:val="18"/>
          <w:szCs w:val="18"/>
        </w:rPr>
        <w:t>La</w:t>
      </w:r>
      <w:r w:rsidR="00A506EF" w:rsidRPr="00A506EF">
        <w:rPr>
          <w:rFonts w:ascii="Verdana" w:hAnsi="Verdana"/>
          <w:bCs/>
          <w:color w:val="212121"/>
          <w:spacing w:val="5"/>
          <w:sz w:val="18"/>
          <w:szCs w:val="18"/>
        </w:rPr>
        <w:t xml:space="preserve"> disposición adicional cuarta del RDL 27/2020 que estamos reseñando, </w:t>
      </w:r>
      <w:r w:rsidR="00A506EF" w:rsidRPr="00562A05">
        <w:rPr>
          <w:rFonts w:ascii="Verdana" w:hAnsi="Verdana"/>
          <w:b/>
          <w:bCs/>
          <w:color w:val="212121"/>
          <w:spacing w:val="5"/>
          <w:sz w:val="18"/>
          <w:szCs w:val="18"/>
        </w:rPr>
        <w:t>prorroga hasta el 31 de octubre de 2020</w:t>
      </w:r>
      <w:r w:rsidR="00A506EF" w:rsidRPr="00A506EF">
        <w:rPr>
          <w:rFonts w:ascii="Verdana" w:hAnsi="Verdana"/>
          <w:bCs/>
          <w:color w:val="212121"/>
          <w:spacing w:val="5"/>
          <w:sz w:val="18"/>
          <w:szCs w:val="18"/>
        </w:rPr>
        <w:t xml:space="preserve"> la aplicación del tipo impositivo del 0% de IVA a las entregas de bienes, importaciones y adquisiciones intracomunitarias de bienes referidos en el Anexo del RDL 27/2020. Esta relación de bienes a los que se refiere la citada disposición adicional cuarta se ha actualizado con efectos desde el 23 de abril de 2020 aumentando el número de productos incluidos. Por tanto, los sujetos pasivos afectados podrán efectuar conforme a la normativa del impuesto, la rectificación del IVA repercutido o satisfecho con anterioridad a la entrada en vigor del RDL 27/2020.</w:t>
      </w:r>
    </w:p>
    <w:p w14:paraId="3185ABBA"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7019C287" w14:textId="6E294E58" w:rsidR="00A506EF" w:rsidRPr="00562A05" w:rsidRDefault="00A506EF" w:rsidP="00A506EF">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562A05">
        <w:rPr>
          <w:rFonts w:ascii="Verdana" w:hAnsi="Verdana"/>
          <w:b/>
          <w:bCs/>
          <w:color w:val="833C0B" w:themeColor="accent2" w:themeShade="80"/>
          <w:spacing w:val="5"/>
          <w:sz w:val="18"/>
          <w:szCs w:val="18"/>
        </w:rPr>
        <w:t xml:space="preserve">Régimen fiscal aplicable a la final de la «UEFA </w:t>
      </w:r>
      <w:proofErr w:type="spellStart"/>
      <w:r w:rsidRPr="00562A05">
        <w:rPr>
          <w:rFonts w:ascii="Verdana" w:hAnsi="Verdana"/>
          <w:b/>
          <w:bCs/>
          <w:color w:val="833C0B" w:themeColor="accent2" w:themeShade="80"/>
          <w:spacing w:val="5"/>
          <w:sz w:val="18"/>
          <w:szCs w:val="18"/>
        </w:rPr>
        <w:t>Women's</w:t>
      </w:r>
      <w:proofErr w:type="spellEnd"/>
      <w:r w:rsidRPr="00562A05">
        <w:rPr>
          <w:rFonts w:ascii="Verdana" w:hAnsi="Verdana"/>
          <w:b/>
          <w:bCs/>
          <w:color w:val="833C0B" w:themeColor="accent2" w:themeShade="80"/>
          <w:spacing w:val="5"/>
          <w:sz w:val="18"/>
          <w:szCs w:val="18"/>
        </w:rPr>
        <w:t xml:space="preserve"> Champions League 2020»</w:t>
      </w:r>
    </w:p>
    <w:p w14:paraId="29EB343E"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r w:rsidRPr="00A506EF">
        <w:rPr>
          <w:rFonts w:ascii="Verdana" w:hAnsi="Verdana"/>
          <w:bCs/>
          <w:color w:val="212121"/>
          <w:spacing w:val="5"/>
          <w:sz w:val="18"/>
          <w:szCs w:val="18"/>
        </w:rPr>
        <w:lastRenderedPageBreak/>
        <w:t xml:space="preserve">En la disposición adicional tercera del RDL 27/2020 se establece un régimen fiscal específico que </w:t>
      </w:r>
      <w:proofErr w:type="gramStart"/>
      <w:r w:rsidRPr="00A506EF">
        <w:rPr>
          <w:rFonts w:ascii="Verdana" w:hAnsi="Verdana"/>
          <w:bCs/>
          <w:color w:val="212121"/>
          <w:spacing w:val="5"/>
          <w:sz w:val="18"/>
          <w:szCs w:val="18"/>
        </w:rPr>
        <w:t>será de aplicación</w:t>
      </w:r>
      <w:proofErr w:type="gramEnd"/>
      <w:r w:rsidRPr="00A506EF">
        <w:rPr>
          <w:rFonts w:ascii="Verdana" w:hAnsi="Verdana"/>
          <w:bCs/>
          <w:color w:val="212121"/>
          <w:spacing w:val="5"/>
          <w:sz w:val="18"/>
          <w:szCs w:val="18"/>
        </w:rPr>
        <w:t xml:space="preserve"> a la final de la «UEFA </w:t>
      </w:r>
      <w:proofErr w:type="spellStart"/>
      <w:r w:rsidRPr="00A506EF">
        <w:rPr>
          <w:rFonts w:ascii="Verdana" w:hAnsi="Verdana"/>
          <w:bCs/>
          <w:color w:val="212121"/>
          <w:spacing w:val="5"/>
          <w:sz w:val="18"/>
          <w:szCs w:val="18"/>
        </w:rPr>
        <w:t>Women's</w:t>
      </w:r>
      <w:proofErr w:type="spellEnd"/>
      <w:r w:rsidRPr="00A506EF">
        <w:rPr>
          <w:rFonts w:ascii="Verdana" w:hAnsi="Verdana"/>
          <w:bCs/>
          <w:color w:val="212121"/>
          <w:spacing w:val="5"/>
          <w:sz w:val="18"/>
          <w:szCs w:val="18"/>
        </w:rPr>
        <w:t xml:space="preserve"> Champions League 2020», que se celebrará en Bilbao en agosto de 2020, tanto para la entidad organizadora de la final y de los equipos participantes, como de las personas físicas que presten servicios a la entidad organizadora o a los equipos participantes. Asimismo, se establece el régimen aduanero y tributario aplicable a las mercancías que se importen para afectarlas al desarrollo y celebración de la final y también un régimen específico en el IVA.</w:t>
      </w:r>
    </w:p>
    <w:p w14:paraId="3F400272"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15AA93AD" w14:textId="77777777" w:rsidR="00A506EF" w:rsidRPr="00562A05" w:rsidRDefault="00A506EF" w:rsidP="00A506EF">
      <w:pPr>
        <w:pStyle w:val="Sangradetextonormal"/>
        <w:tabs>
          <w:tab w:val="left" w:pos="284"/>
        </w:tabs>
        <w:ind w:left="284"/>
        <w:contextualSpacing/>
        <w:jc w:val="both"/>
        <w:rPr>
          <w:rFonts w:ascii="Verdana" w:hAnsi="Verdana"/>
          <w:b/>
          <w:bCs/>
          <w:color w:val="833C0B" w:themeColor="accent2" w:themeShade="80"/>
          <w:spacing w:val="5"/>
          <w:sz w:val="18"/>
          <w:szCs w:val="18"/>
        </w:rPr>
      </w:pPr>
      <w:r w:rsidRPr="00562A05">
        <w:rPr>
          <w:rFonts w:ascii="Verdana" w:hAnsi="Verdana"/>
          <w:b/>
          <w:bCs/>
          <w:color w:val="833C0B" w:themeColor="accent2" w:themeShade="80"/>
          <w:spacing w:val="5"/>
          <w:sz w:val="18"/>
          <w:szCs w:val="18"/>
        </w:rPr>
        <w:t>Exención en AJD de las escrituras de formalización de las moratorias hipotecarias para el sector turístico y para el sector del transporte público de mercancías y discrecional de viajeros en autobús</w:t>
      </w:r>
    </w:p>
    <w:p w14:paraId="55104D66"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r w:rsidRPr="00A506EF">
        <w:rPr>
          <w:rFonts w:ascii="Verdana" w:hAnsi="Verdana"/>
          <w:bCs/>
          <w:color w:val="212121"/>
          <w:spacing w:val="5"/>
          <w:sz w:val="18"/>
          <w:szCs w:val="18"/>
        </w:rPr>
        <w:t xml:space="preserve">Por último, en la disposición final segunda del RDL 27/2020, se modifica el número 30 del artículo 45.I.B) del texto refundido de la Ley del Impuesto sobre Transmisiones Patrimoniales y Actos Jurídicos Documentados (Real Decreto Legislativo 1/1993, de 24 de septiembre) para declarar </w:t>
      </w:r>
      <w:r w:rsidRPr="00562A05">
        <w:rPr>
          <w:rFonts w:ascii="Verdana" w:hAnsi="Verdana"/>
          <w:b/>
          <w:bCs/>
          <w:color w:val="212121"/>
          <w:spacing w:val="5"/>
          <w:sz w:val="18"/>
          <w:szCs w:val="18"/>
        </w:rPr>
        <w:t xml:space="preserve">exentas de actos jurídicos documentados las escrituras de formalización de las moratorias de préstamos y créditos hipotecarios y de arrendamientos, préstamos, leasing y renting sin garantía hipotecaria </w:t>
      </w:r>
      <w:r w:rsidRPr="00A506EF">
        <w:rPr>
          <w:rFonts w:ascii="Verdana" w:hAnsi="Verdana"/>
          <w:bCs/>
          <w:color w:val="212121"/>
          <w:spacing w:val="5"/>
          <w:sz w:val="18"/>
          <w:szCs w:val="18"/>
        </w:rPr>
        <w:t>que se produzcan en aplicación:</w:t>
      </w:r>
    </w:p>
    <w:p w14:paraId="6D761778" w14:textId="77777777" w:rsidR="00A506EF" w:rsidRPr="00A506EF" w:rsidRDefault="00A506EF" w:rsidP="00A506EF">
      <w:pPr>
        <w:pStyle w:val="Sangradetextonormal"/>
        <w:tabs>
          <w:tab w:val="left" w:pos="284"/>
        </w:tabs>
        <w:ind w:left="284"/>
        <w:contextualSpacing/>
        <w:jc w:val="both"/>
        <w:rPr>
          <w:rFonts w:ascii="Verdana" w:hAnsi="Verdana"/>
          <w:bCs/>
          <w:color w:val="212121"/>
          <w:spacing w:val="5"/>
          <w:sz w:val="18"/>
          <w:szCs w:val="18"/>
        </w:rPr>
      </w:pPr>
    </w:p>
    <w:p w14:paraId="666F597E" w14:textId="77777777" w:rsidR="00A506EF" w:rsidRPr="00A506EF" w:rsidRDefault="00A506EF" w:rsidP="00562A05">
      <w:pPr>
        <w:pStyle w:val="Sangradetextonormal"/>
        <w:numPr>
          <w:ilvl w:val="0"/>
          <w:numId w:val="39"/>
        </w:numPr>
        <w:tabs>
          <w:tab w:val="left" w:pos="284"/>
        </w:tabs>
        <w:ind w:left="567" w:hanging="283"/>
        <w:contextualSpacing/>
        <w:jc w:val="both"/>
        <w:rPr>
          <w:rFonts w:ascii="Verdana" w:hAnsi="Verdana"/>
          <w:bCs/>
          <w:color w:val="212121"/>
          <w:spacing w:val="5"/>
          <w:sz w:val="18"/>
          <w:szCs w:val="18"/>
        </w:rPr>
      </w:pPr>
      <w:r w:rsidRPr="00A506EF">
        <w:rPr>
          <w:rFonts w:ascii="Verdana" w:hAnsi="Verdana"/>
          <w:bCs/>
          <w:color w:val="212121"/>
          <w:spacing w:val="5"/>
          <w:sz w:val="18"/>
          <w:szCs w:val="18"/>
        </w:rPr>
        <w:t>de la moratoria hipotecaria para el sector turístico (artículos 3 a 9 del Real Decreto-ley 25/2020, de 3 de julio, de medidas urgentes para apoyar la reactivación económica y el empleo), y</w:t>
      </w:r>
    </w:p>
    <w:p w14:paraId="74BBB5E7" w14:textId="228A4700" w:rsidR="00562A05" w:rsidRPr="0048737A" w:rsidRDefault="00A506EF" w:rsidP="00562A05">
      <w:pPr>
        <w:pStyle w:val="Sangradetextonormal"/>
        <w:numPr>
          <w:ilvl w:val="0"/>
          <w:numId w:val="39"/>
        </w:numPr>
        <w:tabs>
          <w:tab w:val="left" w:pos="284"/>
        </w:tabs>
        <w:ind w:left="567" w:hanging="283"/>
        <w:contextualSpacing/>
        <w:jc w:val="both"/>
        <w:rPr>
          <w:rFonts w:ascii="Verdana" w:hAnsi="Verdana"/>
          <w:color w:val="212121"/>
          <w:spacing w:val="5"/>
          <w:sz w:val="18"/>
          <w:szCs w:val="18"/>
        </w:rPr>
      </w:pPr>
      <w:r w:rsidRPr="00A506EF">
        <w:rPr>
          <w:rFonts w:ascii="Verdana" w:hAnsi="Verdana"/>
          <w:bCs/>
          <w:color w:val="212121"/>
          <w:spacing w:val="5"/>
          <w:sz w:val="18"/>
          <w:szCs w:val="18"/>
        </w:rPr>
        <w:t>de la moratoria para el sector del transporte público de mercancías y discrecional de viajeros en autobús (artículos 18 al 23 del Real Decreto-ley 26/2020 de 7 de julio, de medidas de reactivación económica para hacer frente al impacto del COVID-19 en los ámbitos de transportes y vivienda).</w:t>
      </w:r>
    </w:p>
    <w:p w14:paraId="2DD2921C" w14:textId="023BFE1D" w:rsidR="0048737A" w:rsidRDefault="0048737A" w:rsidP="0048737A">
      <w:pPr>
        <w:pStyle w:val="Sangradetextonormal"/>
        <w:tabs>
          <w:tab w:val="left" w:pos="284"/>
        </w:tabs>
        <w:contextualSpacing/>
        <w:jc w:val="both"/>
        <w:rPr>
          <w:rFonts w:ascii="Verdana" w:hAnsi="Verdana"/>
          <w:bCs/>
          <w:color w:val="212121"/>
          <w:spacing w:val="5"/>
          <w:sz w:val="18"/>
          <w:szCs w:val="18"/>
        </w:rPr>
      </w:pPr>
    </w:p>
    <w:p w14:paraId="52904C04" w14:textId="04C1191D" w:rsidR="0048737A" w:rsidRDefault="0048737A" w:rsidP="0048737A">
      <w:pPr>
        <w:pStyle w:val="Sangradetextonormal"/>
        <w:tabs>
          <w:tab w:val="left" w:pos="284"/>
        </w:tabs>
        <w:contextualSpacing/>
        <w:jc w:val="both"/>
        <w:rPr>
          <w:rFonts w:ascii="Verdana" w:hAnsi="Verdana"/>
          <w:bCs/>
          <w:color w:val="212121"/>
          <w:spacing w:val="5"/>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48737A" w:rsidRPr="0048737A" w14:paraId="21134A3E" w14:textId="77777777" w:rsidTr="00E96AFF">
        <w:tc>
          <w:tcPr>
            <w:tcW w:w="180" w:type="dxa"/>
            <w:shd w:val="clear" w:color="auto" w:fill="FF6600"/>
          </w:tcPr>
          <w:p w14:paraId="7A4CD6B6" w14:textId="77777777" w:rsidR="0048737A" w:rsidRPr="0048737A" w:rsidRDefault="0048737A" w:rsidP="00E96AFF">
            <w:pPr>
              <w:rPr>
                <w:rFonts w:ascii="Verdana" w:hAnsi="Verdana"/>
                <w:b/>
                <w:bCs/>
                <w:color w:val="800000"/>
                <w:sz w:val="18"/>
                <w:szCs w:val="18"/>
              </w:rPr>
            </w:pPr>
          </w:p>
          <w:p w14:paraId="70D5F88E" w14:textId="77777777" w:rsidR="0048737A" w:rsidRPr="0048737A" w:rsidRDefault="0048737A" w:rsidP="00E96AFF">
            <w:pPr>
              <w:rPr>
                <w:rFonts w:ascii="Verdana" w:hAnsi="Verdana"/>
                <w:b/>
                <w:bCs/>
                <w:color w:val="800000"/>
                <w:sz w:val="18"/>
                <w:szCs w:val="18"/>
              </w:rPr>
            </w:pPr>
          </w:p>
        </w:tc>
        <w:tc>
          <w:tcPr>
            <w:tcW w:w="8460" w:type="dxa"/>
          </w:tcPr>
          <w:p w14:paraId="5BAD43EA" w14:textId="18AE3235" w:rsidR="0048737A" w:rsidRPr="0048737A" w:rsidRDefault="0048737A" w:rsidP="0048737A">
            <w:pPr>
              <w:pStyle w:val="Prrafodelista"/>
              <w:numPr>
                <w:ilvl w:val="0"/>
                <w:numId w:val="3"/>
              </w:numPr>
              <w:tabs>
                <w:tab w:val="clear" w:pos="720"/>
                <w:tab w:val="num" w:pos="314"/>
              </w:tabs>
              <w:ind w:left="314" w:hanging="283"/>
              <w:jc w:val="both"/>
              <w:rPr>
                <w:rFonts w:ascii="Verdana" w:hAnsi="Verdana"/>
                <w:b/>
                <w:bCs/>
                <w:color w:val="800000"/>
                <w:sz w:val="18"/>
                <w:szCs w:val="18"/>
              </w:rPr>
            </w:pPr>
            <w:r w:rsidRPr="0048737A">
              <w:rPr>
                <w:rFonts w:ascii="Verdana" w:hAnsi="Verdana"/>
                <w:b/>
                <w:bCs/>
                <w:color w:val="800000"/>
                <w:sz w:val="18"/>
                <w:szCs w:val="18"/>
              </w:rPr>
              <w:t xml:space="preserve">POSPOSICIÓN DE LA ENTRADA EN VIGOR DE DIVERSAS MEDIDAS EN EL IMPUESTO SOBRE EL VALOR AÑADIDO RELACIONADAS CON EL COMERCIO ELECTRÓNICO TRANSFRONTERIZO  </w:t>
            </w:r>
          </w:p>
        </w:tc>
      </w:tr>
    </w:tbl>
    <w:p w14:paraId="7EED27FA" w14:textId="279BE773" w:rsidR="0048737A" w:rsidRDefault="0048737A" w:rsidP="0048737A">
      <w:pPr>
        <w:pStyle w:val="Sangradetextonormal"/>
        <w:tabs>
          <w:tab w:val="left" w:pos="284"/>
        </w:tabs>
        <w:contextualSpacing/>
        <w:jc w:val="both"/>
        <w:rPr>
          <w:rFonts w:ascii="Verdana" w:hAnsi="Verdana"/>
          <w:color w:val="212121"/>
          <w:spacing w:val="5"/>
          <w:sz w:val="18"/>
          <w:szCs w:val="18"/>
        </w:rPr>
      </w:pPr>
    </w:p>
    <w:p w14:paraId="212AF1FC" w14:textId="437796B9" w:rsidR="007365BB" w:rsidRDefault="007365BB" w:rsidP="007365BB">
      <w:pPr>
        <w:pStyle w:val="Sangradetextonormal"/>
        <w:tabs>
          <w:tab w:val="left" w:pos="284"/>
        </w:tabs>
        <w:contextualSpacing/>
        <w:jc w:val="both"/>
        <w:rPr>
          <w:rFonts w:ascii="Verdana" w:hAnsi="Verdana"/>
          <w:color w:val="212121"/>
          <w:spacing w:val="5"/>
          <w:sz w:val="18"/>
          <w:szCs w:val="18"/>
        </w:rPr>
      </w:pPr>
      <w:r w:rsidRPr="007365BB">
        <w:rPr>
          <w:rFonts w:ascii="Verdana" w:hAnsi="Verdana"/>
          <w:color w:val="212121"/>
          <w:spacing w:val="5"/>
          <w:sz w:val="18"/>
          <w:szCs w:val="18"/>
        </w:rPr>
        <w:t xml:space="preserve">La situación de emergencia provocada por la COVID-19, y las dificultadas que esto ha originado en los países miembros para implementar diversas medidas relacionadas con el IVA, </w:t>
      </w:r>
      <w:r>
        <w:rPr>
          <w:rFonts w:ascii="Verdana" w:hAnsi="Verdana"/>
          <w:color w:val="212121"/>
          <w:spacing w:val="5"/>
          <w:sz w:val="18"/>
          <w:szCs w:val="18"/>
        </w:rPr>
        <w:t>ha provocado</w:t>
      </w:r>
      <w:r w:rsidRPr="007365BB">
        <w:rPr>
          <w:rFonts w:ascii="Verdana" w:hAnsi="Verdana"/>
          <w:color w:val="212121"/>
          <w:spacing w:val="5"/>
          <w:sz w:val="18"/>
          <w:szCs w:val="18"/>
        </w:rPr>
        <w:t xml:space="preserve"> que se aplace de manera general en 6 meses</w:t>
      </w:r>
      <w:r>
        <w:rPr>
          <w:rFonts w:ascii="Verdana" w:hAnsi="Verdana"/>
          <w:color w:val="212121"/>
          <w:spacing w:val="5"/>
          <w:sz w:val="18"/>
          <w:szCs w:val="18"/>
        </w:rPr>
        <w:t xml:space="preserve">, </w:t>
      </w:r>
      <w:r w:rsidRPr="007365BB">
        <w:rPr>
          <w:rFonts w:ascii="Verdana" w:hAnsi="Verdana"/>
          <w:color w:val="212121"/>
          <w:spacing w:val="5"/>
          <w:sz w:val="18"/>
          <w:szCs w:val="18"/>
        </w:rPr>
        <w:t>del</w:t>
      </w:r>
      <w:r>
        <w:rPr>
          <w:rFonts w:ascii="Verdana" w:hAnsi="Verdana"/>
          <w:color w:val="212121"/>
          <w:spacing w:val="5"/>
          <w:sz w:val="18"/>
          <w:szCs w:val="18"/>
        </w:rPr>
        <w:t xml:space="preserve"> uno de enero de 2021, al uno de julio de 2021</w:t>
      </w:r>
      <w:r w:rsidRPr="007365BB">
        <w:rPr>
          <w:rFonts w:ascii="Verdana" w:hAnsi="Verdana"/>
          <w:color w:val="212121"/>
          <w:spacing w:val="5"/>
          <w:sz w:val="18"/>
          <w:szCs w:val="18"/>
        </w:rPr>
        <w:t xml:space="preserve">, la entrada en vigor de las modificaciones </w:t>
      </w:r>
      <w:r>
        <w:rPr>
          <w:rFonts w:ascii="Verdana" w:hAnsi="Verdana"/>
          <w:color w:val="212121"/>
          <w:spacing w:val="5"/>
          <w:sz w:val="18"/>
          <w:szCs w:val="18"/>
        </w:rPr>
        <w:t>previstas siguientes</w:t>
      </w:r>
    </w:p>
    <w:p w14:paraId="09941621" w14:textId="77777777" w:rsidR="007365BB" w:rsidRDefault="007365BB" w:rsidP="007365BB">
      <w:pPr>
        <w:pStyle w:val="Sangradetextonormal"/>
        <w:tabs>
          <w:tab w:val="left" w:pos="284"/>
        </w:tabs>
        <w:contextualSpacing/>
        <w:jc w:val="both"/>
        <w:rPr>
          <w:rFonts w:ascii="Verdana" w:hAnsi="Verdana"/>
          <w:color w:val="212121"/>
          <w:spacing w:val="5"/>
          <w:sz w:val="18"/>
          <w:szCs w:val="18"/>
        </w:rPr>
      </w:pPr>
    </w:p>
    <w:p w14:paraId="3F500077" w14:textId="1D8BFC94" w:rsidR="007365BB" w:rsidRDefault="007365BB" w:rsidP="007365BB">
      <w:pPr>
        <w:pStyle w:val="Sangradetextonormal"/>
        <w:numPr>
          <w:ilvl w:val="0"/>
          <w:numId w:val="40"/>
        </w:numPr>
        <w:tabs>
          <w:tab w:val="left" w:pos="284"/>
        </w:tabs>
        <w:ind w:left="709" w:hanging="283"/>
        <w:contextualSpacing/>
        <w:jc w:val="both"/>
        <w:rPr>
          <w:rFonts w:ascii="Verdana" w:hAnsi="Verdana"/>
          <w:color w:val="212121"/>
          <w:spacing w:val="5"/>
          <w:sz w:val="18"/>
          <w:szCs w:val="18"/>
        </w:rPr>
      </w:pPr>
      <w:r>
        <w:rPr>
          <w:rFonts w:ascii="Verdana" w:hAnsi="Verdana"/>
          <w:color w:val="212121"/>
          <w:spacing w:val="5"/>
          <w:sz w:val="18"/>
          <w:szCs w:val="18"/>
        </w:rPr>
        <w:t>E</w:t>
      </w:r>
      <w:r w:rsidRPr="007365BB">
        <w:rPr>
          <w:rFonts w:ascii="Verdana" w:hAnsi="Verdana"/>
          <w:color w:val="212121"/>
          <w:spacing w:val="5"/>
          <w:sz w:val="18"/>
          <w:szCs w:val="18"/>
        </w:rPr>
        <w:t>ntregas de bienes o prestaciones de servicios facilitadas por interfaces electrónicas y a los regímenes especiales aplicables a los sujetos pasivos que presten servicios a personas que no tengan la condición de sujetos pasivos o que realicen ventas a distancia de bienes o determinadas entregas nacionales de bienes</w:t>
      </w:r>
      <w:r>
        <w:rPr>
          <w:rFonts w:ascii="Verdana" w:hAnsi="Verdana"/>
          <w:color w:val="212121"/>
          <w:spacing w:val="5"/>
          <w:sz w:val="18"/>
          <w:szCs w:val="18"/>
        </w:rPr>
        <w:t>.</w:t>
      </w:r>
    </w:p>
    <w:p w14:paraId="1F8A5447" w14:textId="015572AA" w:rsidR="007365BB" w:rsidRPr="007365BB" w:rsidRDefault="007365BB" w:rsidP="007365BB">
      <w:pPr>
        <w:pStyle w:val="Sangradetextonormal"/>
        <w:tabs>
          <w:tab w:val="left" w:pos="284"/>
        </w:tabs>
        <w:ind w:left="709" w:hanging="283"/>
        <w:contextualSpacing/>
        <w:jc w:val="both"/>
        <w:rPr>
          <w:rFonts w:ascii="Verdana" w:hAnsi="Verdana"/>
          <w:color w:val="212121"/>
          <w:spacing w:val="5"/>
          <w:sz w:val="18"/>
          <w:szCs w:val="18"/>
        </w:rPr>
      </w:pPr>
    </w:p>
    <w:p w14:paraId="18CFF499" w14:textId="1E6577BC" w:rsidR="007365BB" w:rsidRDefault="007365BB" w:rsidP="007365BB">
      <w:pPr>
        <w:pStyle w:val="Sangradetextonormal"/>
        <w:numPr>
          <w:ilvl w:val="0"/>
          <w:numId w:val="40"/>
        </w:numPr>
        <w:tabs>
          <w:tab w:val="left" w:pos="284"/>
        </w:tabs>
        <w:ind w:left="709" w:hanging="283"/>
        <w:contextualSpacing/>
        <w:jc w:val="both"/>
        <w:rPr>
          <w:rFonts w:ascii="Verdana" w:hAnsi="Verdana"/>
          <w:color w:val="212121"/>
          <w:spacing w:val="5"/>
          <w:sz w:val="18"/>
          <w:szCs w:val="18"/>
        </w:rPr>
      </w:pPr>
      <w:r>
        <w:rPr>
          <w:rFonts w:ascii="Verdana" w:hAnsi="Verdana"/>
          <w:color w:val="212121"/>
          <w:spacing w:val="5"/>
          <w:sz w:val="18"/>
          <w:szCs w:val="18"/>
        </w:rPr>
        <w:t>N</w:t>
      </w:r>
      <w:r w:rsidRPr="007365BB">
        <w:rPr>
          <w:rFonts w:ascii="Verdana" w:hAnsi="Verdana"/>
          <w:color w:val="212121"/>
          <w:spacing w:val="5"/>
          <w:sz w:val="18"/>
          <w:szCs w:val="18"/>
        </w:rPr>
        <w:t>ormas relativas al intercambio y almacenamiento de información por parte de los Estados miembros en cuanto a los regímenes especiales aplicables a servicios tecnológicos o realicen ventas a distancia de bienes</w:t>
      </w:r>
      <w:r>
        <w:rPr>
          <w:rFonts w:ascii="Verdana" w:hAnsi="Verdana"/>
          <w:color w:val="212121"/>
          <w:spacing w:val="5"/>
          <w:sz w:val="18"/>
          <w:szCs w:val="18"/>
        </w:rPr>
        <w:t>.</w:t>
      </w:r>
    </w:p>
    <w:p w14:paraId="179142A5" w14:textId="77777777" w:rsidR="007365BB" w:rsidRPr="007365BB" w:rsidRDefault="007365BB" w:rsidP="007365BB">
      <w:pPr>
        <w:pStyle w:val="Sangradetextonormal"/>
        <w:tabs>
          <w:tab w:val="left" w:pos="284"/>
        </w:tabs>
        <w:ind w:left="709" w:hanging="283"/>
        <w:contextualSpacing/>
        <w:jc w:val="both"/>
        <w:rPr>
          <w:rFonts w:ascii="Verdana" w:hAnsi="Verdana"/>
          <w:color w:val="212121"/>
          <w:spacing w:val="5"/>
          <w:sz w:val="18"/>
          <w:szCs w:val="18"/>
        </w:rPr>
      </w:pPr>
    </w:p>
    <w:p w14:paraId="7CE74C06" w14:textId="35AF2317" w:rsidR="007365BB" w:rsidRDefault="007365BB" w:rsidP="007365BB">
      <w:pPr>
        <w:pStyle w:val="Sangradetextonormal"/>
        <w:numPr>
          <w:ilvl w:val="0"/>
          <w:numId w:val="40"/>
        </w:numPr>
        <w:tabs>
          <w:tab w:val="left" w:pos="284"/>
        </w:tabs>
        <w:ind w:left="709" w:hanging="283"/>
        <w:contextualSpacing/>
        <w:jc w:val="both"/>
        <w:rPr>
          <w:rFonts w:ascii="Verdana" w:hAnsi="Verdana"/>
          <w:color w:val="212121"/>
          <w:spacing w:val="5"/>
          <w:sz w:val="18"/>
          <w:szCs w:val="18"/>
        </w:rPr>
      </w:pPr>
      <w:r>
        <w:rPr>
          <w:rFonts w:ascii="Verdana" w:hAnsi="Verdana"/>
          <w:color w:val="212121"/>
          <w:spacing w:val="5"/>
          <w:sz w:val="18"/>
          <w:szCs w:val="18"/>
        </w:rPr>
        <w:t>M</w:t>
      </w:r>
      <w:r w:rsidRPr="007365BB">
        <w:rPr>
          <w:rFonts w:ascii="Verdana" w:hAnsi="Verdana"/>
          <w:color w:val="212121"/>
          <w:spacing w:val="5"/>
          <w:sz w:val="18"/>
          <w:szCs w:val="18"/>
        </w:rPr>
        <w:t>edidas previstas para modernizar el marco jurídico del IVA para el comercio electrónico transfronterizo entre empresas y consumidores</w:t>
      </w:r>
      <w:r>
        <w:rPr>
          <w:rFonts w:ascii="Verdana" w:hAnsi="Verdana"/>
          <w:color w:val="212121"/>
          <w:spacing w:val="5"/>
          <w:sz w:val="18"/>
          <w:szCs w:val="18"/>
        </w:rPr>
        <w:t>.</w:t>
      </w:r>
    </w:p>
    <w:p w14:paraId="108C9F7F" w14:textId="77777777" w:rsidR="007365BB" w:rsidRPr="007365BB" w:rsidRDefault="007365BB" w:rsidP="007365BB">
      <w:pPr>
        <w:pStyle w:val="Sangradetextonormal"/>
        <w:tabs>
          <w:tab w:val="left" w:pos="284"/>
        </w:tabs>
        <w:contextualSpacing/>
        <w:jc w:val="both"/>
        <w:rPr>
          <w:rFonts w:ascii="Verdana" w:hAnsi="Verdana"/>
          <w:color w:val="212121"/>
          <w:spacing w:val="5"/>
          <w:sz w:val="18"/>
          <w:szCs w:val="18"/>
        </w:rPr>
      </w:pPr>
    </w:p>
    <w:p w14:paraId="49E89086" w14:textId="603E59E0" w:rsidR="002B55F1" w:rsidRPr="00325770" w:rsidRDefault="00834568" w:rsidP="00217814">
      <w:pPr>
        <w:pStyle w:val="Sangradetextonormal"/>
        <w:tabs>
          <w:tab w:val="left" w:pos="284"/>
        </w:tabs>
        <w:ind w:left="0"/>
        <w:contextualSpacing/>
        <w:jc w:val="both"/>
        <w:rPr>
          <w:rFonts w:ascii="Verdana" w:hAnsi="Verdana"/>
          <w:color w:val="212121"/>
          <w:spacing w:val="5"/>
          <w:sz w:val="18"/>
          <w:szCs w:val="18"/>
        </w:rPr>
      </w:pPr>
      <w:r w:rsidRPr="00E544A5">
        <w:rPr>
          <w:rFonts w:ascii="Verdana" w:hAnsi="Verdana"/>
          <w:bCs/>
          <w:color w:val="212121"/>
          <w:spacing w:val="5"/>
          <w:sz w:val="18"/>
          <w:szCs w:val="18"/>
        </w:rPr>
        <w:br w:type="page"/>
      </w:r>
      <w:r w:rsidR="002B55F1" w:rsidRPr="00D85A46">
        <w:rPr>
          <w:rFonts w:ascii="Verdana" w:hAnsi="Verdana"/>
          <w:b/>
          <w:bCs/>
          <w:color w:val="800000"/>
          <w:sz w:val="22"/>
          <w:szCs w:val="22"/>
        </w:rPr>
        <w:lastRenderedPageBreak/>
        <w:t xml:space="preserve">DISPOSICIONES PUBLICADAS DURANTE </w:t>
      </w:r>
      <w:r w:rsidR="00352E2F">
        <w:rPr>
          <w:rFonts w:ascii="Verdana" w:hAnsi="Verdana"/>
          <w:b/>
          <w:bCs/>
          <w:color w:val="800000"/>
          <w:sz w:val="22"/>
          <w:szCs w:val="22"/>
        </w:rPr>
        <w:t>LOS MESES DE JULIO Y</w:t>
      </w:r>
      <w:r w:rsidR="00887B11">
        <w:rPr>
          <w:rFonts w:ascii="Verdana" w:hAnsi="Verdana"/>
          <w:b/>
          <w:bCs/>
          <w:color w:val="800000"/>
          <w:sz w:val="22"/>
          <w:szCs w:val="22"/>
        </w:rPr>
        <w:t xml:space="preserve"> </w:t>
      </w:r>
      <w:r w:rsidR="002B55F1" w:rsidRPr="00D85A46">
        <w:rPr>
          <w:rFonts w:ascii="Verdana" w:hAnsi="Verdana"/>
          <w:b/>
          <w:bCs/>
          <w:color w:val="800000"/>
          <w:sz w:val="22"/>
          <w:szCs w:val="22"/>
        </w:rPr>
        <w:t xml:space="preserve">AGOSTO DE </w:t>
      </w:r>
      <w:r w:rsidR="00DF1F7F">
        <w:rPr>
          <w:rFonts w:ascii="Verdana" w:hAnsi="Verdana"/>
          <w:b/>
          <w:bCs/>
          <w:color w:val="800000"/>
          <w:sz w:val="22"/>
          <w:szCs w:val="22"/>
        </w:rPr>
        <w:t>20</w:t>
      </w:r>
      <w:r w:rsidR="00504680">
        <w:rPr>
          <w:rFonts w:ascii="Verdana" w:hAnsi="Verdana"/>
          <w:b/>
          <w:bCs/>
          <w:color w:val="800000"/>
          <w:sz w:val="22"/>
          <w:szCs w:val="22"/>
        </w:rPr>
        <w:t>20</w:t>
      </w:r>
    </w:p>
    <w:p w14:paraId="3AB8D9FC" w14:textId="77777777" w:rsidR="00BE784E" w:rsidRDefault="00BE784E" w:rsidP="00F5160E">
      <w:pPr>
        <w:pStyle w:val="Sangradetextonormal"/>
        <w:ind w:left="0"/>
        <w:contextualSpacing/>
        <w:rPr>
          <w:rFonts w:ascii="Verdana" w:hAnsi="Verdana"/>
          <w:bCs/>
          <w:i/>
          <w:sz w:val="18"/>
          <w:szCs w:val="18"/>
        </w:rPr>
      </w:pPr>
    </w:p>
    <w:p w14:paraId="300A7686" w14:textId="77777777" w:rsidR="00BE784E" w:rsidRPr="000F367A" w:rsidRDefault="00BE784E" w:rsidP="000F367A">
      <w:pPr>
        <w:pStyle w:val="Sangradetextonormal"/>
        <w:ind w:left="0"/>
        <w:contextualSpacing/>
        <w:jc w:val="both"/>
        <w:rPr>
          <w:rFonts w:ascii="Verdana" w:hAnsi="Verdana"/>
          <w:b/>
          <w:iCs/>
          <w:color w:val="800000"/>
          <w:sz w:val="18"/>
          <w:szCs w:val="18"/>
        </w:rPr>
      </w:pPr>
      <w:r w:rsidRPr="000F367A">
        <w:rPr>
          <w:rFonts w:ascii="Verdana" w:hAnsi="Verdana"/>
          <w:b/>
          <w:iCs/>
          <w:color w:val="800000"/>
          <w:sz w:val="18"/>
          <w:szCs w:val="18"/>
        </w:rPr>
        <w:t>Medidas urgentes</w:t>
      </w:r>
    </w:p>
    <w:p w14:paraId="1C71B571" w14:textId="77777777" w:rsidR="00BE784E" w:rsidRPr="000F367A" w:rsidRDefault="00BE784E" w:rsidP="00845283">
      <w:pPr>
        <w:pStyle w:val="Sangradetextonormal"/>
        <w:tabs>
          <w:tab w:val="left" w:pos="0"/>
        </w:tabs>
        <w:ind w:left="0"/>
        <w:contextualSpacing/>
        <w:jc w:val="both"/>
        <w:rPr>
          <w:rFonts w:ascii="Verdana" w:hAnsi="Verdana"/>
          <w:bCs/>
          <w:sz w:val="18"/>
          <w:szCs w:val="18"/>
        </w:rPr>
      </w:pPr>
      <w:r w:rsidRPr="00BE784E">
        <w:rPr>
          <w:rFonts w:ascii="Verdana" w:hAnsi="Verdana"/>
          <w:bCs/>
          <w:iCs/>
          <w:sz w:val="18"/>
          <w:szCs w:val="18"/>
        </w:rPr>
        <w:t>Real Decreto-ley 25/2020, de 3 de julio, de medidas urgentes para apoyar la reactivación</w:t>
      </w:r>
      <w:r w:rsidRPr="00BE784E">
        <w:rPr>
          <w:rFonts w:ascii="Verdana" w:hAnsi="Verdana"/>
          <w:bCs/>
          <w:i/>
          <w:sz w:val="18"/>
          <w:szCs w:val="18"/>
        </w:rPr>
        <w:t xml:space="preserve"> </w:t>
      </w:r>
      <w:r w:rsidRPr="000F367A">
        <w:rPr>
          <w:rFonts w:ascii="Verdana" w:hAnsi="Verdana"/>
          <w:bCs/>
          <w:sz w:val="18"/>
          <w:szCs w:val="18"/>
        </w:rPr>
        <w:t>económica y el empleo.</w:t>
      </w:r>
    </w:p>
    <w:p w14:paraId="514A83D2" w14:textId="3D6F1EB1" w:rsidR="00BE784E" w:rsidRDefault="000F367A" w:rsidP="000F367A">
      <w:pPr>
        <w:pStyle w:val="Sangradetextonormal"/>
        <w:spacing w:after="0"/>
        <w:ind w:left="0"/>
        <w:contextualSpacing/>
        <w:rPr>
          <w:rFonts w:ascii="Verdana" w:hAnsi="Verdana"/>
          <w:bCs/>
          <w:i/>
          <w:sz w:val="18"/>
          <w:szCs w:val="18"/>
        </w:rPr>
      </w:pPr>
      <w:r>
        <w:rPr>
          <w:rFonts w:ascii="Verdana" w:hAnsi="Verdana"/>
          <w:bCs/>
          <w:i/>
          <w:sz w:val="18"/>
          <w:szCs w:val="18"/>
        </w:rPr>
        <w:t>Jefatura del Estado. B.O.E. núm. 185 de 6 de julio de 2020.</w:t>
      </w:r>
    </w:p>
    <w:p w14:paraId="5C25F7F9" w14:textId="77777777" w:rsidR="003C20BB" w:rsidRDefault="003C20BB" w:rsidP="000F367A">
      <w:pPr>
        <w:pStyle w:val="Sangradetextonormal"/>
        <w:spacing w:after="0"/>
        <w:ind w:left="0"/>
        <w:contextualSpacing/>
        <w:rPr>
          <w:rFonts w:ascii="Verdana" w:hAnsi="Verdana"/>
          <w:bCs/>
          <w:i/>
          <w:sz w:val="18"/>
          <w:szCs w:val="18"/>
        </w:rPr>
      </w:pPr>
    </w:p>
    <w:p w14:paraId="2EAB79E1" w14:textId="77777777" w:rsidR="003C20BB" w:rsidRPr="003C20BB" w:rsidRDefault="003C20BB" w:rsidP="003C20BB">
      <w:pPr>
        <w:pStyle w:val="Sangradetextonormal"/>
        <w:ind w:left="0"/>
        <w:contextualSpacing/>
        <w:jc w:val="both"/>
        <w:rPr>
          <w:rFonts w:ascii="Verdana" w:hAnsi="Verdana"/>
          <w:b/>
          <w:iCs/>
          <w:color w:val="800000"/>
          <w:sz w:val="18"/>
          <w:szCs w:val="18"/>
        </w:rPr>
      </w:pPr>
      <w:r w:rsidRPr="003C20BB">
        <w:rPr>
          <w:rFonts w:ascii="Verdana" w:hAnsi="Verdana"/>
          <w:b/>
          <w:iCs/>
          <w:color w:val="800000"/>
          <w:sz w:val="18"/>
          <w:szCs w:val="18"/>
        </w:rPr>
        <w:t>Procedimientos tributarios. Gestión informatizada</w:t>
      </w:r>
    </w:p>
    <w:p w14:paraId="37A6F87B" w14:textId="036F665D" w:rsidR="003C20BB" w:rsidRPr="003C20BB" w:rsidRDefault="003C20BB" w:rsidP="00845283">
      <w:pPr>
        <w:pStyle w:val="Sangradetextonormal"/>
        <w:spacing w:after="0"/>
        <w:ind w:left="0"/>
        <w:contextualSpacing/>
        <w:jc w:val="both"/>
        <w:rPr>
          <w:rFonts w:ascii="Verdana" w:hAnsi="Verdana"/>
          <w:bCs/>
          <w:sz w:val="18"/>
          <w:szCs w:val="18"/>
        </w:rPr>
      </w:pPr>
      <w:r w:rsidRPr="003C20BB">
        <w:rPr>
          <w:rFonts w:ascii="Verdana" w:hAnsi="Verdana"/>
          <w:bCs/>
          <w:sz w:val="18"/>
          <w:szCs w:val="18"/>
        </w:rPr>
        <w:t xml:space="preserve">Resolución de 1 de julio de 2020, del Departamento de Recaudación de la Agencia Estatal de Administración Tributaria, por la que se habilitan trámites y actuaciones a través del canal telefónico, mediante el sistema de firma no avanzada con clave de acceso en un registro previo (sistema </w:t>
      </w:r>
      <w:proofErr w:type="spellStart"/>
      <w:r w:rsidRPr="003C20BB">
        <w:rPr>
          <w:rFonts w:ascii="Verdana" w:hAnsi="Verdana"/>
          <w:bCs/>
          <w:sz w:val="18"/>
          <w:szCs w:val="18"/>
        </w:rPr>
        <w:t>cl@ve</w:t>
      </w:r>
      <w:proofErr w:type="spellEnd"/>
      <w:r w:rsidRPr="003C20BB">
        <w:rPr>
          <w:rFonts w:ascii="Verdana" w:hAnsi="Verdana"/>
          <w:bCs/>
          <w:sz w:val="18"/>
          <w:szCs w:val="18"/>
        </w:rPr>
        <w:t xml:space="preserve"> pin).</w:t>
      </w:r>
    </w:p>
    <w:p w14:paraId="6343DA40" w14:textId="2945863B" w:rsidR="003C20BB" w:rsidRDefault="003C20BB" w:rsidP="003C20BB">
      <w:pPr>
        <w:pStyle w:val="Sangradetextonormal"/>
        <w:spacing w:after="0"/>
        <w:ind w:left="0"/>
        <w:contextualSpacing/>
        <w:rPr>
          <w:rFonts w:ascii="Verdana" w:hAnsi="Verdana"/>
          <w:bCs/>
          <w:i/>
          <w:sz w:val="18"/>
          <w:szCs w:val="18"/>
        </w:rPr>
      </w:pPr>
      <w:r>
        <w:rPr>
          <w:rFonts w:ascii="Verdana" w:hAnsi="Verdana"/>
          <w:bCs/>
          <w:i/>
          <w:sz w:val="18"/>
          <w:szCs w:val="18"/>
        </w:rPr>
        <w:t>Ministerio de Hacienda. B.O.E. núm. 186 de 7 de julio de 2020.</w:t>
      </w:r>
    </w:p>
    <w:p w14:paraId="7A2FAF1D" w14:textId="77777777" w:rsidR="00444ABD" w:rsidRDefault="00444ABD" w:rsidP="003C20BB">
      <w:pPr>
        <w:pStyle w:val="Sangradetextonormal"/>
        <w:spacing w:after="0"/>
        <w:ind w:left="0"/>
        <w:contextualSpacing/>
        <w:rPr>
          <w:rFonts w:ascii="Verdana" w:hAnsi="Verdana"/>
          <w:bCs/>
          <w:i/>
          <w:sz w:val="18"/>
          <w:szCs w:val="18"/>
        </w:rPr>
      </w:pPr>
    </w:p>
    <w:p w14:paraId="1FF96BA9" w14:textId="47CB20CD" w:rsidR="00444ABD" w:rsidRPr="00444ABD" w:rsidRDefault="00444ABD" w:rsidP="00444ABD">
      <w:pPr>
        <w:pStyle w:val="Sangradetextonormal"/>
        <w:ind w:left="0"/>
        <w:contextualSpacing/>
        <w:jc w:val="both"/>
        <w:rPr>
          <w:rFonts w:ascii="Verdana" w:hAnsi="Verdana"/>
          <w:b/>
          <w:iCs/>
          <w:color w:val="800000"/>
          <w:sz w:val="18"/>
          <w:szCs w:val="18"/>
        </w:rPr>
      </w:pPr>
      <w:r w:rsidRPr="00444ABD">
        <w:rPr>
          <w:rFonts w:ascii="Verdana" w:hAnsi="Verdana"/>
          <w:b/>
          <w:iCs/>
          <w:color w:val="800000"/>
          <w:sz w:val="18"/>
          <w:szCs w:val="18"/>
        </w:rPr>
        <w:t>Tratados internacionales</w:t>
      </w:r>
      <w:r w:rsidR="005D29A4">
        <w:rPr>
          <w:rFonts w:ascii="Verdana" w:hAnsi="Verdana"/>
          <w:b/>
          <w:iCs/>
          <w:color w:val="800000"/>
          <w:sz w:val="18"/>
          <w:szCs w:val="18"/>
        </w:rPr>
        <w:t xml:space="preserve">. </w:t>
      </w:r>
      <w:r w:rsidR="005D29A4" w:rsidRPr="005D29A4">
        <w:rPr>
          <w:rFonts w:ascii="Verdana" w:hAnsi="Verdana"/>
          <w:b/>
          <w:iCs/>
          <w:color w:val="800000"/>
          <w:sz w:val="18"/>
          <w:szCs w:val="18"/>
        </w:rPr>
        <w:t>Convenio y el Protocolo entre el Reino de España y la República de la India para evitar la doble imposición</w:t>
      </w:r>
    </w:p>
    <w:p w14:paraId="125DEF69" w14:textId="3EA3ED37" w:rsidR="00444ABD" w:rsidRDefault="00444ABD" w:rsidP="001203B4">
      <w:pPr>
        <w:pStyle w:val="Sangradetextonormal"/>
        <w:spacing w:after="0"/>
        <w:ind w:left="0"/>
        <w:contextualSpacing/>
        <w:jc w:val="both"/>
        <w:rPr>
          <w:rFonts w:ascii="Verdana" w:hAnsi="Verdana"/>
          <w:bCs/>
          <w:sz w:val="18"/>
          <w:szCs w:val="18"/>
        </w:rPr>
      </w:pPr>
      <w:r w:rsidRPr="00444ABD">
        <w:rPr>
          <w:rFonts w:ascii="Verdana" w:hAnsi="Verdana"/>
          <w:bCs/>
          <w:sz w:val="18"/>
          <w:szCs w:val="18"/>
        </w:rPr>
        <w:t>Protocolo entre el Reino de España y la República de la India hecho en Nueva Delhi el 26 de octubre de 2012, que modifica el Convenio y el Protocolo entre el Reino de España y la República de la India para evitar la doble imposición y prevenir la evasión fiscal en materia de impuestos sobre la renta y sobre el patrimonio, firmados en Nueva Delhi el 8 de febrero de 1993.</w:t>
      </w:r>
    </w:p>
    <w:p w14:paraId="48FAA4D4" w14:textId="01D5BA6B" w:rsidR="00444ABD" w:rsidRPr="001203B4" w:rsidRDefault="001203B4" w:rsidP="001203B4">
      <w:pPr>
        <w:pStyle w:val="Sangradetextonormal"/>
        <w:spacing w:after="0"/>
        <w:ind w:left="0"/>
        <w:contextualSpacing/>
        <w:jc w:val="both"/>
        <w:rPr>
          <w:rFonts w:ascii="Verdana" w:hAnsi="Verdana"/>
          <w:bCs/>
          <w:i/>
          <w:sz w:val="18"/>
          <w:szCs w:val="18"/>
        </w:rPr>
      </w:pPr>
      <w:r w:rsidRPr="001203B4">
        <w:rPr>
          <w:rFonts w:ascii="Verdana" w:hAnsi="Verdana"/>
          <w:bCs/>
          <w:i/>
          <w:sz w:val="18"/>
          <w:szCs w:val="18"/>
        </w:rPr>
        <w:t>Ministerio de Asuntos Exteriores, Unión Europea y Cooperación. B.O.E. núm. 188 de 9 de julio de 2020.</w:t>
      </w:r>
    </w:p>
    <w:p w14:paraId="654586CB" w14:textId="77777777" w:rsidR="00B62078" w:rsidRDefault="00B62078" w:rsidP="003C20BB">
      <w:pPr>
        <w:pStyle w:val="Sangradetextonormal"/>
        <w:spacing w:after="0"/>
        <w:ind w:left="0"/>
        <w:contextualSpacing/>
        <w:rPr>
          <w:rFonts w:ascii="Verdana" w:hAnsi="Verdana"/>
          <w:bCs/>
          <w:i/>
          <w:sz w:val="18"/>
          <w:szCs w:val="18"/>
        </w:rPr>
      </w:pPr>
    </w:p>
    <w:p w14:paraId="3B38C605" w14:textId="77777777" w:rsidR="00B62078" w:rsidRPr="000355BA" w:rsidRDefault="00B62078" w:rsidP="000355BA">
      <w:pPr>
        <w:pStyle w:val="Sangradetextonormal"/>
        <w:ind w:left="0"/>
        <w:contextualSpacing/>
        <w:jc w:val="both"/>
        <w:rPr>
          <w:rFonts w:ascii="Verdana" w:hAnsi="Verdana"/>
          <w:b/>
          <w:iCs/>
          <w:color w:val="800000"/>
          <w:sz w:val="18"/>
          <w:szCs w:val="18"/>
        </w:rPr>
      </w:pPr>
      <w:r w:rsidRPr="000355BA">
        <w:rPr>
          <w:rFonts w:ascii="Verdana" w:hAnsi="Verdana"/>
          <w:b/>
          <w:iCs/>
          <w:color w:val="800000"/>
          <w:sz w:val="18"/>
          <w:szCs w:val="18"/>
        </w:rPr>
        <w:t>Medidas urgentes</w:t>
      </w:r>
    </w:p>
    <w:p w14:paraId="3750F95B" w14:textId="0C117CB8" w:rsidR="00B62078" w:rsidRPr="00172D86" w:rsidRDefault="00B62078" w:rsidP="00845283">
      <w:pPr>
        <w:pStyle w:val="Sangradetextonormal"/>
        <w:spacing w:after="0"/>
        <w:ind w:left="0"/>
        <w:contextualSpacing/>
        <w:jc w:val="both"/>
        <w:rPr>
          <w:rFonts w:ascii="Verdana" w:hAnsi="Verdana"/>
          <w:bCs/>
          <w:sz w:val="18"/>
          <w:szCs w:val="18"/>
        </w:rPr>
      </w:pPr>
      <w:r w:rsidRPr="00172D86">
        <w:rPr>
          <w:rFonts w:ascii="Verdana" w:hAnsi="Verdana"/>
          <w:bCs/>
          <w:sz w:val="18"/>
          <w:szCs w:val="18"/>
        </w:rPr>
        <w:t>Real Decreto-ley 26/2020, de 7 de julio, de medidas de reactivación económica para hacer frente al impacto del COVID-19 en los ámbitos de transportes y vivienda.</w:t>
      </w:r>
    </w:p>
    <w:p w14:paraId="13CC8CE2" w14:textId="45A36715" w:rsidR="003C20BB" w:rsidRDefault="000355BA" w:rsidP="003C20BB">
      <w:pPr>
        <w:pStyle w:val="Sangradetextonormal"/>
        <w:spacing w:after="0"/>
        <w:ind w:left="0"/>
        <w:contextualSpacing/>
        <w:rPr>
          <w:rFonts w:ascii="Verdana" w:hAnsi="Verdana"/>
          <w:bCs/>
          <w:i/>
          <w:sz w:val="18"/>
          <w:szCs w:val="18"/>
        </w:rPr>
      </w:pPr>
      <w:r>
        <w:rPr>
          <w:rFonts w:ascii="Verdana" w:hAnsi="Verdana"/>
          <w:bCs/>
          <w:i/>
          <w:sz w:val="18"/>
          <w:szCs w:val="18"/>
        </w:rPr>
        <w:t>Jefatura del Estado. B.O.E. núm. 187 de 8 de julio de 2020.</w:t>
      </w:r>
    </w:p>
    <w:p w14:paraId="22BAF187" w14:textId="77777777" w:rsidR="00172D86" w:rsidRDefault="00172D86" w:rsidP="003C20BB">
      <w:pPr>
        <w:pStyle w:val="Sangradetextonormal"/>
        <w:spacing w:after="0"/>
        <w:ind w:left="0"/>
        <w:contextualSpacing/>
        <w:rPr>
          <w:rFonts w:ascii="Verdana" w:hAnsi="Verdana"/>
          <w:bCs/>
          <w:i/>
          <w:sz w:val="18"/>
          <w:szCs w:val="18"/>
        </w:rPr>
      </w:pPr>
    </w:p>
    <w:p w14:paraId="67546FBF" w14:textId="77777777" w:rsidR="00172D86" w:rsidRPr="00172D86" w:rsidRDefault="00172D86" w:rsidP="00172D86">
      <w:pPr>
        <w:jc w:val="both"/>
        <w:rPr>
          <w:rFonts w:ascii="Verdana" w:hAnsi="Verdana"/>
          <w:bCs/>
          <w:sz w:val="18"/>
          <w:szCs w:val="18"/>
        </w:rPr>
      </w:pPr>
      <w:r w:rsidRPr="00172D86">
        <w:rPr>
          <w:rFonts w:ascii="Verdana" w:hAnsi="Verdana"/>
          <w:bCs/>
          <w:sz w:val="18"/>
          <w:szCs w:val="18"/>
        </w:rPr>
        <w:t>Resolución de 22 de julio de 2020, del Congreso de los Diputados, por la que se ordena la publicación del Acuerdo de convalidación del Real Decreto-ley 26/2020, de 7 de julio, de medidas de reactivación económica para hacer frente al impacto del COVID-19 en los</w:t>
      </w:r>
      <w:r w:rsidRPr="00172D86">
        <w:rPr>
          <w:rFonts w:ascii="Verdana" w:hAnsi="Verdana"/>
          <w:bCs/>
          <w:i/>
          <w:sz w:val="18"/>
          <w:szCs w:val="18"/>
        </w:rPr>
        <w:t xml:space="preserve"> </w:t>
      </w:r>
      <w:r w:rsidRPr="00172D86">
        <w:rPr>
          <w:rFonts w:ascii="Verdana" w:hAnsi="Verdana"/>
          <w:bCs/>
          <w:sz w:val="18"/>
          <w:szCs w:val="18"/>
        </w:rPr>
        <w:t>ámbitos de transportes y vivienda.</w:t>
      </w:r>
    </w:p>
    <w:p w14:paraId="78D07C57" w14:textId="1ED39542" w:rsidR="00172D86" w:rsidRDefault="00172D86" w:rsidP="003C20BB">
      <w:pPr>
        <w:pStyle w:val="Sangradetextonormal"/>
        <w:spacing w:after="0"/>
        <w:ind w:left="0"/>
        <w:contextualSpacing/>
        <w:rPr>
          <w:rFonts w:ascii="Verdana" w:hAnsi="Verdana"/>
          <w:bCs/>
          <w:i/>
          <w:sz w:val="18"/>
          <w:szCs w:val="18"/>
        </w:rPr>
      </w:pPr>
      <w:r>
        <w:rPr>
          <w:rFonts w:ascii="Verdana" w:hAnsi="Verdana"/>
          <w:bCs/>
          <w:i/>
          <w:sz w:val="18"/>
          <w:szCs w:val="18"/>
        </w:rPr>
        <w:t>Cortes Generales. B.O.E. núm. 204 de 2</w:t>
      </w:r>
      <w:r w:rsidR="0071540E">
        <w:rPr>
          <w:rFonts w:ascii="Verdana" w:hAnsi="Verdana"/>
          <w:bCs/>
          <w:i/>
          <w:sz w:val="18"/>
          <w:szCs w:val="18"/>
        </w:rPr>
        <w:t>8</w:t>
      </w:r>
      <w:r>
        <w:rPr>
          <w:rFonts w:ascii="Verdana" w:hAnsi="Verdana"/>
          <w:bCs/>
          <w:i/>
          <w:sz w:val="18"/>
          <w:szCs w:val="18"/>
        </w:rPr>
        <w:t xml:space="preserve"> de julio de 2020. </w:t>
      </w:r>
    </w:p>
    <w:p w14:paraId="21B8B278" w14:textId="77777777" w:rsidR="000355BA" w:rsidRDefault="000355BA" w:rsidP="003C20BB">
      <w:pPr>
        <w:pStyle w:val="Sangradetextonormal"/>
        <w:spacing w:after="0"/>
        <w:ind w:left="0"/>
        <w:contextualSpacing/>
        <w:rPr>
          <w:rFonts w:ascii="Verdana" w:hAnsi="Verdana"/>
          <w:bCs/>
          <w:i/>
          <w:sz w:val="18"/>
          <w:szCs w:val="18"/>
        </w:rPr>
      </w:pPr>
    </w:p>
    <w:p w14:paraId="30777566" w14:textId="77777777" w:rsidR="00BF1395" w:rsidRPr="00BF1395" w:rsidRDefault="00BF1395" w:rsidP="00BF1395">
      <w:pPr>
        <w:pStyle w:val="Sangradetextonormal"/>
        <w:ind w:left="0"/>
        <w:contextualSpacing/>
        <w:jc w:val="both"/>
        <w:rPr>
          <w:rFonts w:ascii="Verdana" w:hAnsi="Verdana"/>
          <w:b/>
          <w:iCs/>
          <w:color w:val="800000"/>
          <w:sz w:val="18"/>
          <w:szCs w:val="18"/>
        </w:rPr>
      </w:pPr>
      <w:r w:rsidRPr="00BF1395">
        <w:rPr>
          <w:rFonts w:ascii="Verdana" w:hAnsi="Verdana"/>
          <w:b/>
          <w:iCs/>
          <w:color w:val="800000"/>
          <w:sz w:val="18"/>
          <w:szCs w:val="18"/>
        </w:rPr>
        <w:t>Impuestos especiales</w:t>
      </w:r>
    </w:p>
    <w:p w14:paraId="28B66107" w14:textId="59BA831F" w:rsidR="000355BA" w:rsidRPr="00BF1395" w:rsidRDefault="00BF1395" w:rsidP="00845283">
      <w:pPr>
        <w:pStyle w:val="Sangradetextonormal"/>
        <w:spacing w:after="0"/>
        <w:ind w:left="0"/>
        <w:contextualSpacing/>
        <w:jc w:val="both"/>
        <w:rPr>
          <w:rFonts w:ascii="Verdana" w:hAnsi="Verdana"/>
          <w:bCs/>
          <w:iCs/>
          <w:sz w:val="18"/>
          <w:szCs w:val="18"/>
        </w:rPr>
      </w:pPr>
      <w:r w:rsidRPr="00BF1395">
        <w:rPr>
          <w:rFonts w:ascii="Verdana" w:hAnsi="Verdana"/>
          <w:bCs/>
          <w:iCs/>
          <w:sz w:val="18"/>
          <w:szCs w:val="18"/>
        </w:rPr>
        <w:t>Orden HAC/626/2020, de 6 de julio, por la que se modifica la Orden HAC/1271/</w:t>
      </w:r>
      <w:r w:rsidR="00753E93">
        <w:rPr>
          <w:rFonts w:ascii="Verdana" w:hAnsi="Verdana"/>
          <w:bCs/>
          <w:iCs/>
          <w:sz w:val="18"/>
          <w:szCs w:val="18"/>
        </w:rPr>
        <w:t>2020</w:t>
      </w:r>
      <w:r w:rsidRPr="00BF1395">
        <w:rPr>
          <w:rFonts w:ascii="Verdana" w:hAnsi="Verdana"/>
          <w:bCs/>
          <w:iCs/>
          <w:sz w:val="18"/>
          <w:szCs w:val="18"/>
        </w:rPr>
        <w:t>, de 9 de diciembre, por la que se aprueban las normas de desarrollo de lo dispuesto en el artículo 26 del Reglamento de los Impuestos Especiales, aprobado por Real Decreto 1165/1995, de 7 de julio, sobre marcas fiscales previstas para bebidas derivadas.</w:t>
      </w:r>
    </w:p>
    <w:p w14:paraId="08BF0500" w14:textId="623EE89E" w:rsidR="00BF1395" w:rsidRDefault="00BF1395" w:rsidP="00BF1395">
      <w:pPr>
        <w:pStyle w:val="Sangradetextonormal"/>
        <w:ind w:left="0"/>
        <w:contextualSpacing/>
        <w:rPr>
          <w:rFonts w:ascii="Verdana" w:hAnsi="Verdana"/>
          <w:bCs/>
          <w:i/>
          <w:sz w:val="18"/>
          <w:szCs w:val="18"/>
        </w:rPr>
      </w:pPr>
      <w:r w:rsidRPr="00884AAC">
        <w:rPr>
          <w:rFonts w:ascii="Verdana" w:hAnsi="Verdana"/>
          <w:bCs/>
          <w:i/>
          <w:sz w:val="18"/>
          <w:szCs w:val="18"/>
        </w:rPr>
        <w:t>Ministerio de Hacienda. B.O.E. núm. 1</w:t>
      </w:r>
      <w:r>
        <w:rPr>
          <w:rFonts w:ascii="Verdana" w:hAnsi="Verdana"/>
          <w:bCs/>
          <w:i/>
          <w:sz w:val="18"/>
          <w:szCs w:val="18"/>
        </w:rPr>
        <w:t>88 d</w:t>
      </w:r>
      <w:r w:rsidRPr="00884AAC">
        <w:rPr>
          <w:rFonts w:ascii="Verdana" w:hAnsi="Verdana"/>
          <w:bCs/>
          <w:i/>
          <w:sz w:val="18"/>
          <w:szCs w:val="18"/>
        </w:rPr>
        <w:t xml:space="preserve">e </w:t>
      </w:r>
      <w:r>
        <w:rPr>
          <w:rFonts w:ascii="Verdana" w:hAnsi="Verdana"/>
          <w:bCs/>
          <w:i/>
          <w:sz w:val="18"/>
          <w:szCs w:val="18"/>
        </w:rPr>
        <w:t>9 de julio</w:t>
      </w:r>
      <w:r w:rsidRPr="00884AAC">
        <w:rPr>
          <w:rFonts w:ascii="Verdana" w:hAnsi="Verdana"/>
          <w:bCs/>
          <w:i/>
          <w:sz w:val="18"/>
          <w:szCs w:val="18"/>
        </w:rPr>
        <w:t xml:space="preserve"> de </w:t>
      </w:r>
      <w:r>
        <w:rPr>
          <w:rFonts w:ascii="Verdana" w:hAnsi="Verdana"/>
          <w:bCs/>
          <w:i/>
          <w:sz w:val="18"/>
          <w:szCs w:val="18"/>
        </w:rPr>
        <w:t>2020</w:t>
      </w:r>
      <w:r w:rsidRPr="00884AAC">
        <w:rPr>
          <w:rFonts w:ascii="Verdana" w:hAnsi="Verdana"/>
          <w:bCs/>
          <w:i/>
          <w:sz w:val="18"/>
          <w:szCs w:val="18"/>
        </w:rPr>
        <w:t>.</w:t>
      </w:r>
    </w:p>
    <w:p w14:paraId="226EE15F" w14:textId="5DA9C0DC" w:rsidR="00845283" w:rsidRDefault="00845283" w:rsidP="00BF1395">
      <w:pPr>
        <w:pStyle w:val="Sangradetextonormal"/>
        <w:ind w:left="0"/>
        <w:contextualSpacing/>
        <w:rPr>
          <w:rFonts w:ascii="Verdana" w:hAnsi="Verdana"/>
          <w:bCs/>
          <w:i/>
          <w:sz w:val="18"/>
          <w:szCs w:val="18"/>
        </w:rPr>
      </w:pPr>
    </w:p>
    <w:p w14:paraId="4B4F2240" w14:textId="77777777" w:rsidR="00845283" w:rsidRPr="00845283" w:rsidRDefault="00845283" w:rsidP="00845283">
      <w:pPr>
        <w:pStyle w:val="Sangradetextonormal"/>
        <w:ind w:left="0"/>
        <w:contextualSpacing/>
        <w:jc w:val="both"/>
        <w:rPr>
          <w:rFonts w:ascii="Verdana" w:hAnsi="Verdana"/>
          <w:b/>
          <w:iCs/>
          <w:color w:val="800000"/>
          <w:sz w:val="18"/>
          <w:szCs w:val="18"/>
        </w:rPr>
      </w:pPr>
      <w:r w:rsidRPr="00845283">
        <w:rPr>
          <w:rFonts w:ascii="Verdana" w:hAnsi="Verdana"/>
          <w:b/>
          <w:iCs/>
          <w:color w:val="800000"/>
          <w:sz w:val="18"/>
          <w:szCs w:val="18"/>
        </w:rPr>
        <w:t>Medidas urgentes</w:t>
      </w:r>
    </w:p>
    <w:p w14:paraId="35E1DFEC" w14:textId="77777777" w:rsidR="00845283" w:rsidRPr="00845283" w:rsidRDefault="00845283" w:rsidP="00845283">
      <w:pPr>
        <w:pStyle w:val="Sangradetextonormal"/>
        <w:ind w:left="0"/>
        <w:contextualSpacing/>
        <w:jc w:val="both"/>
        <w:rPr>
          <w:rFonts w:ascii="Verdana" w:hAnsi="Verdana"/>
          <w:bCs/>
          <w:iCs/>
          <w:sz w:val="18"/>
          <w:szCs w:val="18"/>
        </w:rPr>
      </w:pPr>
      <w:r w:rsidRPr="00845283">
        <w:rPr>
          <w:rFonts w:ascii="Verdana" w:hAnsi="Verdana"/>
          <w:bCs/>
          <w:iCs/>
          <w:sz w:val="18"/>
          <w:szCs w:val="18"/>
        </w:rPr>
        <w:t>Resolución de 15 de julio 2020, del Congreso de los Diputados, por la que se ordena la publicación del Acuerdo de convalidación del Real Decreto-ley 23/2020, de 23 de junio, por el que se aprueban medidas en materia de energía y en otros ámbitos para la reactivación económica.</w:t>
      </w:r>
    </w:p>
    <w:p w14:paraId="35581F13" w14:textId="77777777" w:rsidR="00845283" w:rsidRPr="00845283" w:rsidRDefault="00845283" w:rsidP="00845283">
      <w:pPr>
        <w:pStyle w:val="Sangradetextonormal"/>
        <w:ind w:left="0"/>
        <w:contextualSpacing/>
        <w:jc w:val="both"/>
        <w:rPr>
          <w:rFonts w:ascii="Verdana" w:hAnsi="Verdana"/>
          <w:bCs/>
          <w:iCs/>
          <w:sz w:val="18"/>
          <w:szCs w:val="18"/>
        </w:rPr>
      </w:pPr>
    </w:p>
    <w:p w14:paraId="5714436B" w14:textId="77777777" w:rsidR="00845283" w:rsidRPr="00845283" w:rsidRDefault="00845283" w:rsidP="00845283">
      <w:pPr>
        <w:pStyle w:val="Sangradetextonormal"/>
        <w:ind w:left="0"/>
        <w:contextualSpacing/>
        <w:jc w:val="both"/>
        <w:rPr>
          <w:rFonts w:ascii="Verdana" w:hAnsi="Verdana"/>
          <w:bCs/>
          <w:iCs/>
          <w:sz w:val="18"/>
          <w:szCs w:val="18"/>
        </w:rPr>
      </w:pPr>
      <w:r w:rsidRPr="00845283">
        <w:rPr>
          <w:rFonts w:ascii="Verdana" w:hAnsi="Verdana"/>
          <w:bCs/>
          <w:iCs/>
          <w:sz w:val="18"/>
          <w:szCs w:val="18"/>
        </w:rPr>
        <w:t>Resolución de 15 de julio 2020, del Congreso de los Diputados, por la que se ordena la publicación del Acuerdo de convalidación del Real Decreto-ley 24/2020, de 26 de junio, de medidas sociales de reactivación del empleo y protección del trabajo autónomo y de competitividad del sector industrial.</w:t>
      </w:r>
    </w:p>
    <w:p w14:paraId="3F6B3E0E" w14:textId="77777777" w:rsidR="00845283" w:rsidRPr="00845283" w:rsidRDefault="00845283" w:rsidP="00845283">
      <w:pPr>
        <w:pStyle w:val="Sangradetextonormal"/>
        <w:contextualSpacing/>
        <w:jc w:val="both"/>
        <w:rPr>
          <w:rFonts w:ascii="Verdana" w:hAnsi="Verdana"/>
          <w:bCs/>
          <w:iCs/>
          <w:sz w:val="18"/>
          <w:szCs w:val="18"/>
        </w:rPr>
      </w:pPr>
    </w:p>
    <w:p w14:paraId="5458A1CB" w14:textId="635E386E" w:rsidR="00845283" w:rsidRPr="00845283" w:rsidRDefault="00845283" w:rsidP="00845283">
      <w:pPr>
        <w:pStyle w:val="Sangradetextonormal"/>
        <w:ind w:left="0"/>
        <w:contextualSpacing/>
        <w:jc w:val="both"/>
        <w:rPr>
          <w:rFonts w:ascii="Verdana" w:hAnsi="Verdana"/>
          <w:bCs/>
          <w:iCs/>
          <w:sz w:val="18"/>
          <w:szCs w:val="18"/>
        </w:rPr>
      </w:pPr>
      <w:r w:rsidRPr="00845283">
        <w:rPr>
          <w:rFonts w:ascii="Verdana" w:hAnsi="Verdana"/>
          <w:bCs/>
          <w:iCs/>
          <w:sz w:val="18"/>
          <w:szCs w:val="18"/>
        </w:rPr>
        <w:lastRenderedPageBreak/>
        <w:t>Resolución de 15 de julio 2020, del Congreso de los Diputados, por la que se ordena la publicación del Acuerdo de convalidación del Real Decreto-ley 25/2020, de 3 de julio, de medidas urgentes para apoyar la reactivación económica y el empleo.</w:t>
      </w:r>
    </w:p>
    <w:p w14:paraId="14C750B0" w14:textId="5146C929" w:rsidR="000F367A" w:rsidRDefault="00845283" w:rsidP="00845283">
      <w:pPr>
        <w:pStyle w:val="Sangradetextonormal"/>
        <w:spacing w:after="0"/>
        <w:ind w:left="0"/>
        <w:contextualSpacing/>
        <w:jc w:val="both"/>
        <w:rPr>
          <w:rFonts w:ascii="Verdana" w:hAnsi="Verdana"/>
          <w:bCs/>
          <w:i/>
          <w:sz w:val="18"/>
          <w:szCs w:val="18"/>
        </w:rPr>
      </w:pPr>
      <w:r>
        <w:rPr>
          <w:rFonts w:ascii="Verdana" w:hAnsi="Verdana"/>
          <w:bCs/>
          <w:i/>
          <w:sz w:val="18"/>
          <w:szCs w:val="18"/>
        </w:rPr>
        <w:t>Cortes Generales. B.O.E. núm. 196 de 18 de julio de 2020.</w:t>
      </w:r>
    </w:p>
    <w:p w14:paraId="23A00070" w14:textId="4C3D9AA9" w:rsidR="00BC6206" w:rsidRDefault="00BC6206" w:rsidP="00845283">
      <w:pPr>
        <w:pStyle w:val="Sangradetextonormal"/>
        <w:spacing w:after="0"/>
        <w:ind w:left="0"/>
        <w:contextualSpacing/>
        <w:jc w:val="both"/>
        <w:rPr>
          <w:rFonts w:ascii="Verdana" w:hAnsi="Verdana"/>
          <w:bCs/>
          <w:i/>
          <w:sz w:val="18"/>
          <w:szCs w:val="18"/>
        </w:rPr>
      </w:pPr>
    </w:p>
    <w:p w14:paraId="306C3863" w14:textId="77777777" w:rsidR="00BC6206" w:rsidRPr="00BC6206" w:rsidRDefault="00BC6206" w:rsidP="00BC6206">
      <w:pPr>
        <w:pStyle w:val="Sangradetextonormal"/>
        <w:ind w:left="0"/>
        <w:contextualSpacing/>
        <w:jc w:val="both"/>
        <w:rPr>
          <w:rFonts w:ascii="Verdana" w:hAnsi="Verdana"/>
          <w:b/>
          <w:iCs/>
          <w:color w:val="800000"/>
          <w:sz w:val="18"/>
          <w:szCs w:val="18"/>
        </w:rPr>
      </w:pPr>
      <w:r w:rsidRPr="00BC6206">
        <w:rPr>
          <w:rFonts w:ascii="Verdana" w:hAnsi="Verdana"/>
          <w:b/>
          <w:iCs/>
          <w:color w:val="800000"/>
          <w:sz w:val="18"/>
          <w:szCs w:val="18"/>
        </w:rPr>
        <w:t>Tributos. Gestión informatizada</w:t>
      </w:r>
    </w:p>
    <w:p w14:paraId="7263144B" w14:textId="42BBFD3D" w:rsidR="00BC6206" w:rsidRPr="00BC6206" w:rsidRDefault="00BC6206" w:rsidP="00BC6206">
      <w:pPr>
        <w:pStyle w:val="Sangradetextonormal"/>
        <w:spacing w:after="0"/>
        <w:ind w:left="0"/>
        <w:contextualSpacing/>
        <w:jc w:val="both"/>
        <w:rPr>
          <w:rFonts w:ascii="Verdana" w:hAnsi="Verdana"/>
          <w:bCs/>
          <w:iCs/>
          <w:sz w:val="18"/>
          <w:szCs w:val="18"/>
        </w:rPr>
      </w:pPr>
      <w:r w:rsidRPr="00BC6206">
        <w:rPr>
          <w:rFonts w:ascii="Verdana" w:hAnsi="Verdana"/>
          <w:bCs/>
          <w:iCs/>
          <w:sz w:val="18"/>
          <w:szCs w:val="18"/>
        </w:rPr>
        <w:t>Resolución de 21 de julio de 2020, de la Dirección General de la Agencia Estatal de Administración Tributaria, por la que se extiende la colaboración social a la presentación telemática de la solicitud de inscripción de operadores en el Registro especial de operadores de embarcaciones neumáticas y semirrígidas de alta velocidad y de la solicitud de autorización de uso de embarcación neumática y semirrígida de alta velocidad y se aprueba el documento normalizado para acreditar la representación para su presentación por vía telemática en nombre de terceros.</w:t>
      </w:r>
    </w:p>
    <w:p w14:paraId="4DC3A524" w14:textId="4AC646CD" w:rsidR="00BC6206" w:rsidRDefault="00BC6206" w:rsidP="00BC6206">
      <w:pPr>
        <w:pStyle w:val="Sangradetextonormal"/>
        <w:ind w:left="0"/>
        <w:contextualSpacing/>
        <w:rPr>
          <w:rFonts w:ascii="Verdana" w:hAnsi="Verdana"/>
          <w:bCs/>
          <w:i/>
          <w:sz w:val="18"/>
          <w:szCs w:val="18"/>
        </w:rPr>
      </w:pPr>
      <w:r w:rsidRPr="00884AAC">
        <w:rPr>
          <w:rFonts w:ascii="Verdana" w:hAnsi="Verdana"/>
          <w:bCs/>
          <w:i/>
          <w:sz w:val="18"/>
          <w:szCs w:val="18"/>
        </w:rPr>
        <w:t xml:space="preserve">Ministerio de Hacienda. B.O.E. núm. </w:t>
      </w:r>
      <w:r>
        <w:rPr>
          <w:rFonts w:ascii="Verdana" w:hAnsi="Verdana"/>
          <w:bCs/>
          <w:i/>
          <w:sz w:val="18"/>
          <w:szCs w:val="18"/>
        </w:rPr>
        <w:t>201 d</w:t>
      </w:r>
      <w:r w:rsidRPr="00884AAC">
        <w:rPr>
          <w:rFonts w:ascii="Verdana" w:hAnsi="Verdana"/>
          <w:bCs/>
          <w:i/>
          <w:sz w:val="18"/>
          <w:szCs w:val="18"/>
        </w:rPr>
        <w:t xml:space="preserve">e </w:t>
      </w:r>
      <w:r>
        <w:rPr>
          <w:rFonts w:ascii="Verdana" w:hAnsi="Verdana"/>
          <w:bCs/>
          <w:i/>
          <w:sz w:val="18"/>
          <w:szCs w:val="18"/>
        </w:rPr>
        <w:t>24 de julio</w:t>
      </w:r>
      <w:r w:rsidRPr="00884AAC">
        <w:rPr>
          <w:rFonts w:ascii="Verdana" w:hAnsi="Verdana"/>
          <w:bCs/>
          <w:i/>
          <w:sz w:val="18"/>
          <w:szCs w:val="18"/>
        </w:rPr>
        <w:t xml:space="preserve"> de </w:t>
      </w:r>
      <w:r>
        <w:rPr>
          <w:rFonts w:ascii="Verdana" w:hAnsi="Verdana"/>
          <w:bCs/>
          <w:i/>
          <w:sz w:val="18"/>
          <w:szCs w:val="18"/>
        </w:rPr>
        <w:t>2020</w:t>
      </w:r>
      <w:r w:rsidRPr="00884AAC">
        <w:rPr>
          <w:rFonts w:ascii="Verdana" w:hAnsi="Verdana"/>
          <w:bCs/>
          <w:i/>
          <w:sz w:val="18"/>
          <w:szCs w:val="18"/>
        </w:rPr>
        <w:t>.</w:t>
      </w:r>
    </w:p>
    <w:p w14:paraId="692A5F0B" w14:textId="77777777" w:rsidR="00785359" w:rsidRDefault="00785359" w:rsidP="00BC6206">
      <w:pPr>
        <w:pStyle w:val="Sangradetextonormal"/>
        <w:ind w:left="0"/>
        <w:contextualSpacing/>
        <w:rPr>
          <w:rFonts w:ascii="Verdana" w:hAnsi="Verdana"/>
          <w:bCs/>
          <w:i/>
          <w:sz w:val="18"/>
          <w:szCs w:val="18"/>
        </w:rPr>
      </w:pPr>
    </w:p>
    <w:p w14:paraId="16DB77FA" w14:textId="77777777" w:rsidR="00785359" w:rsidRPr="00785359" w:rsidRDefault="00785359" w:rsidP="00785359">
      <w:pPr>
        <w:pStyle w:val="Sangradetextonormal"/>
        <w:ind w:left="0"/>
        <w:contextualSpacing/>
        <w:jc w:val="both"/>
        <w:rPr>
          <w:rFonts w:ascii="Verdana" w:hAnsi="Verdana"/>
          <w:b/>
          <w:iCs/>
          <w:color w:val="800000"/>
          <w:sz w:val="18"/>
          <w:szCs w:val="18"/>
        </w:rPr>
      </w:pPr>
      <w:r w:rsidRPr="00785359">
        <w:rPr>
          <w:rFonts w:ascii="Verdana" w:hAnsi="Verdana"/>
          <w:b/>
          <w:iCs/>
          <w:color w:val="800000"/>
          <w:sz w:val="18"/>
          <w:szCs w:val="18"/>
        </w:rPr>
        <w:t>Fondo de apoyo a la solvencia de empresas estratégicas</w:t>
      </w:r>
    </w:p>
    <w:p w14:paraId="198D0DB4" w14:textId="7C966A63" w:rsidR="00785359" w:rsidRDefault="00785359" w:rsidP="00785359">
      <w:pPr>
        <w:pStyle w:val="Sangradetextonormal"/>
        <w:ind w:left="0"/>
        <w:contextualSpacing/>
        <w:rPr>
          <w:rFonts w:ascii="Verdana" w:hAnsi="Verdana"/>
          <w:bCs/>
          <w:iCs/>
          <w:sz w:val="18"/>
          <w:szCs w:val="18"/>
        </w:rPr>
      </w:pPr>
      <w:r w:rsidRPr="00785359">
        <w:rPr>
          <w:rFonts w:ascii="Verdana" w:hAnsi="Verdana"/>
          <w:bCs/>
          <w:iCs/>
          <w:sz w:val="18"/>
          <w:szCs w:val="18"/>
        </w:rPr>
        <w:t>Orden PCM/679/2020, de 23 de julio, por la que se publica el Acuerdo del Consejo de Ministros de 21 de julio de 2020, por el que se establece el funcionamiento del Fondo de apoyo a la solvencia de empresas estratégicas.</w:t>
      </w:r>
    </w:p>
    <w:p w14:paraId="07CD5201" w14:textId="387511F1" w:rsidR="00785359" w:rsidRDefault="00785359" w:rsidP="00785359">
      <w:pPr>
        <w:pStyle w:val="Sangradetextonormal"/>
        <w:ind w:left="0"/>
        <w:contextualSpacing/>
        <w:jc w:val="both"/>
        <w:rPr>
          <w:rFonts w:ascii="Verdana" w:hAnsi="Verdana"/>
          <w:bCs/>
          <w:i/>
          <w:sz w:val="18"/>
          <w:szCs w:val="18"/>
        </w:rPr>
      </w:pPr>
      <w:r w:rsidRPr="00392352">
        <w:rPr>
          <w:rFonts w:ascii="Verdana" w:hAnsi="Verdana"/>
          <w:bCs/>
          <w:i/>
          <w:iCs/>
          <w:sz w:val="18"/>
          <w:szCs w:val="18"/>
        </w:rPr>
        <w:t xml:space="preserve">Ministerio de la Presidencia, Relaciones con las Cortes y Memoria Democrática. </w:t>
      </w:r>
      <w:r w:rsidR="00392352" w:rsidRPr="00392352">
        <w:rPr>
          <w:rFonts w:ascii="Verdana" w:hAnsi="Verdana"/>
          <w:bCs/>
          <w:i/>
          <w:sz w:val="18"/>
          <w:szCs w:val="18"/>
        </w:rPr>
        <w:t>B.O.E. núm.</w:t>
      </w:r>
      <w:r w:rsidR="00392352" w:rsidRPr="00884AAC">
        <w:rPr>
          <w:rFonts w:ascii="Verdana" w:hAnsi="Verdana"/>
          <w:bCs/>
          <w:i/>
          <w:sz w:val="18"/>
          <w:szCs w:val="18"/>
        </w:rPr>
        <w:t xml:space="preserve"> </w:t>
      </w:r>
      <w:r w:rsidR="00392352">
        <w:rPr>
          <w:rFonts w:ascii="Verdana" w:hAnsi="Verdana"/>
          <w:bCs/>
          <w:i/>
          <w:sz w:val="18"/>
          <w:szCs w:val="18"/>
        </w:rPr>
        <w:t>201 d</w:t>
      </w:r>
      <w:r w:rsidR="00392352" w:rsidRPr="00884AAC">
        <w:rPr>
          <w:rFonts w:ascii="Verdana" w:hAnsi="Verdana"/>
          <w:bCs/>
          <w:i/>
          <w:sz w:val="18"/>
          <w:szCs w:val="18"/>
        </w:rPr>
        <w:t xml:space="preserve">e </w:t>
      </w:r>
      <w:r w:rsidR="00392352">
        <w:rPr>
          <w:rFonts w:ascii="Verdana" w:hAnsi="Verdana"/>
          <w:bCs/>
          <w:i/>
          <w:sz w:val="18"/>
          <w:szCs w:val="18"/>
        </w:rPr>
        <w:t>24 de julio</w:t>
      </w:r>
      <w:r w:rsidR="00392352" w:rsidRPr="00884AAC">
        <w:rPr>
          <w:rFonts w:ascii="Verdana" w:hAnsi="Verdana"/>
          <w:bCs/>
          <w:i/>
          <w:sz w:val="18"/>
          <w:szCs w:val="18"/>
        </w:rPr>
        <w:t xml:space="preserve"> de </w:t>
      </w:r>
      <w:r w:rsidR="00392352">
        <w:rPr>
          <w:rFonts w:ascii="Verdana" w:hAnsi="Verdana"/>
          <w:bCs/>
          <w:i/>
          <w:sz w:val="18"/>
          <w:szCs w:val="18"/>
        </w:rPr>
        <w:t>2020</w:t>
      </w:r>
      <w:r w:rsidR="00392352" w:rsidRPr="00884AAC">
        <w:rPr>
          <w:rFonts w:ascii="Verdana" w:hAnsi="Verdana"/>
          <w:bCs/>
          <w:i/>
          <w:sz w:val="18"/>
          <w:szCs w:val="18"/>
        </w:rPr>
        <w:t>.</w:t>
      </w:r>
    </w:p>
    <w:p w14:paraId="6ECD93BE" w14:textId="77777777" w:rsidR="00687ACD" w:rsidRDefault="00687ACD" w:rsidP="00785359">
      <w:pPr>
        <w:pStyle w:val="Sangradetextonormal"/>
        <w:ind w:left="0"/>
        <w:contextualSpacing/>
        <w:jc w:val="both"/>
        <w:rPr>
          <w:rFonts w:ascii="Verdana" w:hAnsi="Verdana"/>
          <w:bCs/>
          <w:i/>
          <w:sz w:val="18"/>
          <w:szCs w:val="18"/>
        </w:rPr>
      </w:pPr>
    </w:p>
    <w:p w14:paraId="304D4C88" w14:textId="77777777" w:rsidR="00687ACD" w:rsidRPr="00687ACD" w:rsidRDefault="00687ACD" w:rsidP="00687ACD">
      <w:pPr>
        <w:pStyle w:val="Sangradetextonormal"/>
        <w:ind w:left="0"/>
        <w:contextualSpacing/>
        <w:jc w:val="both"/>
        <w:rPr>
          <w:rFonts w:ascii="Verdana" w:hAnsi="Verdana"/>
          <w:b/>
          <w:iCs/>
          <w:color w:val="800000"/>
          <w:sz w:val="18"/>
          <w:szCs w:val="18"/>
        </w:rPr>
      </w:pPr>
      <w:r w:rsidRPr="00687ACD">
        <w:rPr>
          <w:rFonts w:ascii="Verdana" w:hAnsi="Verdana"/>
          <w:b/>
          <w:iCs/>
          <w:color w:val="800000"/>
          <w:sz w:val="18"/>
          <w:szCs w:val="18"/>
        </w:rPr>
        <w:t>Medidas urgentes</w:t>
      </w:r>
    </w:p>
    <w:p w14:paraId="5FA9CBB2" w14:textId="207DD96C" w:rsidR="00687ACD" w:rsidRDefault="00687ACD" w:rsidP="00687ACD">
      <w:pPr>
        <w:pStyle w:val="Sangradetextonormal"/>
        <w:ind w:left="0"/>
        <w:contextualSpacing/>
        <w:jc w:val="both"/>
        <w:rPr>
          <w:rFonts w:ascii="Verdana" w:hAnsi="Verdana"/>
          <w:bCs/>
          <w:iCs/>
          <w:sz w:val="18"/>
          <w:szCs w:val="18"/>
        </w:rPr>
      </w:pPr>
      <w:r w:rsidRPr="00687ACD">
        <w:rPr>
          <w:rFonts w:ascii="Verdana" w:hAnsi="Verdana"/>
          <w:bCs/>
          <w:iCs/>
          <w:sz w:val="18"/>
          <w:szCs w:val="18"/>
        </w:rPr>
        <w:t>Real Decreto-ley 27/2020, de 4 de agosto, de medidas financieras, de carácter extraordinario y urgente, aplicables a las entidades locales.</w:t>
      </w:r>
    </w:p>
    <w:p w14:paraId="055DBDB7" w14:textId="3A213C49" w:rsidR="00687ACD" w:rsidRDefault="00687ACD" w:rsidP="00687ACD">
      <w:pPr>
        <w:pStyle w:val="Sangradetextonormal"/>
        <w:ind w:left="0"/>
        <w:contextualSpacing/>
        <w:jc w:val="both"/>
        <w:rPr>
          <w:rFonts w:ascii="Verdana" w:hAnsi="Verdana"/>
          <w:bCs/>
          <w:i/>
          <w:iCs/>
          <w:sz w:val="18"/>
          <w:szCs w:val="18"/>
        </w:rPr>
      </w:pPr>
      <w:r w:rsidRPr="00687ACD">
        <w:rPr>
          <w:rFonts w:ascii="Verdana" w:hAnsi="Verdana"/>
          <w:bCs/>
          <w:i/>
          <w:iCs/>
          <w:sz w:val="18"/>
          <w:szCs w:val="18"/>
        </w:rPr>
        <w:t>Jefatura del Estado. B.O.E. núm. 211 de 5 de agosto de 2020.</w:t>
      </w:r>
    </w:p>
    <w:p w14:paraId="2812A259" w14:textId="6DEB0466" w:rsidR="00005E9D" w:rsidRDefault="00005E9D" w:rsidP="00687ACD">
      <w:pPr>
        <w:pStyle w:val="Sangradetextonormal"/>
        <w:ind w:left="0"/>
        <w:contextualSpacing/>
        <w:jc w:val="both"/>
        <w:rPr>
          <w:rFonts w:ascii="Verdana" w:hAnsi="Verdana"/>
          <w:bCs/>
          <w:i/>
          <w:iCs/>
          <w:sz w:val="18"/>
          <w:szCs w:val="18"/>
        </w:rPr>
      </w:pPr>
    </w:p>
    <w:p w14:paraId="6C205BB6" w14:textId="77777777" w:rsidR="00005E9D" w:rsidRPr="00005E9D" w:rsidRDefault="00005E9D" w:rsidP="00005E9D">
      <w:pPr>
        <w:pStyle w:val="Sangradetextonormal"/>
        <w:ind w:left="0"/>
        <w:contextualSpacing/>
        <w:jc w:val="both"/>
        <w:rPr>
          <w:rFonts w:ascii="Verdana" w:hAnsi="Verdana"/>
          <w:b/>
          <w:iCs/>
          <w:color w:val="800000"/>
          <w:sz w:val="18"/>
          <w:szCs w:val="18"/>
        </w:rPr>
      </w:pPr>
      <w:r w:rsidRPr="00005E9D">
        <w:rPr>
          <w:rFonts w:ascii="Verdana" w:hAnsi="Verdana"/>
          <w:b/>
          <w:iCs/>
          <w:color w:val="800000"/>
          <w:sz w:val="18"/>
          <w:szCs w:val="18"/>
        </w:rPr>
        <w:t>Procedimientos tributarios. Entidades colaboradoras</w:t>
      </w:r>
    </w:p>
    <w:p w14:paraId="6C14B59D" w14:textId="306B4EE0" w:rsidR="00005E9D" w:rsidRPr="00005E9D" w:rsidRDefault="00005E9D" w:rsidP="00005E9D">
      <w:pPr>
        <w:pStyle w:val="Sangradetextonormal"/>
        <w:ind w:left="0"/>
        <w:contextualSpacing/>
        <w:jc w:val="both"/>
        <w:rPr>
          <w:rFonts w:ascii="Verdana" w:hAnsi="Verdana"/>
          <w:bCs/>
          <w:sz w:val="18"/>
          <w:szCs w:val="18"/>
        </w:rPr>
      </w:pPr>
      <w:r w:rsidRPr="00005E9D">
        <w:rPr>
          <w:rFonts w:ascii="Verdana" w:hAnsi="Verdana"/>
          <w:bCs/>
          <w:sz w:val="18"/>
          <w:szCs w:val="18"/>
        </w:rPr>
        <w:t>Orden HAC/785/2020, de 21 de julio, por la que se modifican la Orden EHA/2027/2007, de 28 de junio, por la que se desarrolla parcialmente el Real Decreto 939/2005, de 29 de julio, por el que se aprueba el Reglamento General de Recaudación, en relación con las entidades de crédito que prestan el servicio de colaboración en la gestión recaudatoria de la Agencia Estatal de Administración Tributaria y la Orden EHA/1658/2009, de 12 de junio, por la que se establecen el procedimiento y las condiciones para la domiciliación del pago de determinadas deudas cuya gestión tiene atribuida la Agencia Estatal de Administración Tributaria.</w:t>
      </w:r>
    </w:p>
    <w:p w14:paraId="196C1344" w14:textId="3ED66448" w:rsidR="006F36C7" w:rsidRDefault="00005E9D" w:rsidP="00687ACD">
      <w:pPr>
        <w:pStyle w:val="Sangradetextonormal"/>
        <w:ind w:left="0"/>
        <w:contextualSpacing/>
        <w:jc w:val="both"/>
        <w:rPr>
          <w:rFonts w:ascii="Verdana" w:hAnsi="Verdana"/>
          <w:bCs/>
          <w:i/>
          <w:iCs/>
          <w:sz w:val="18"/>
          <w:szCs w:val="18"/>
        </w:rPr>
      </w:pPr>
      <w:r>
        <w:rPr>
          <w:rFonts w:ascii="Verdana" w:hAnsi="Verdana"/>
          <w:bCs/>
          <w:i/>
          <w:iCs/>
          <w:sz w:val="18"/>
          <w:szCs w:val="18"/>
        </w:rPr>
        <w:t xml:space="preserve">Ministerio de Hacienda. B.O. E. núm. 217 e 12 de agosto </w:t>
      </w:r>
      <w:proofErr w:type="spellStart"/>
      <w:r>
        <w:rPr>
          <w:rFonts w:ascii="Verdana" w:hAnsi="Verdana"/>
          <w:bCs/>
          <w:i/>
          <w:iCs/>
          <w:sz w:val="18"/>
          <w:szCs w:val="18"/>
        </w:rPr>
        <w:t>e</w:t>
      </w:r>
      <w:proofErr w:type="spellEnd"/>
      <w:r>
        <w:rPr>
          <w:rFonts w:ascii="Verdana" w:hAnsi="Verdana"/>
          <w:bCs/>
          <w:i/>
          <w:iCs/>
          <w:sz w:val="18"/>
          <w:szCs w:val="18"/>
        </w:rPr>
        <w:t xml:space="preserve"> 2020.</w:t>
      </w:r>
    </w:p>
    <w:p w14:paraId="46B982E4" w14:textId="77777777" w:rsidR="006F36C7" w:rsidRPr="00687ACD" w:rsidRDefault="006F36C7" w:rsidP="00687ACD">
      <w:pPr>
        <w:pStyle w:val="Sangradetextonormal"/>
        <w:ind w:left="0"/>
        <w:contextualSpacing/>
        <w:jc w:val="both"/>
        <w:rPr>
          <w:rFonts w:ascii="Verdana" w:hAnsi="Verdana"/>
          <w:bCs/>
          <w:i/>
          <w:iCs/>
          <w:sz w:val="18"/>
          <w:szCs w:val="18"/>
        </w:rPr>
      </w:pPr>
    </w:p>
    <w:p w14:paraId="611B0404" w14:textId="77777777" w:rsidR="00884AAC" w:rsidRPr="00884AAC" w:rsidRDefault="00884AAC" w:rsidP="00884AAC">
      <w:pPr>
        <w:pStyle w:val="Sangradetextonormal"/>
        <w:ind w:left="0"/>
        <w:rPr>
          <w:rFonts w:ascii="Verdana" w:hAnsi="Verdana"/>
          <w:bCs/>
          <w:sz w:val="18"/>
          <w:szCs w:val="18"/>
        </w:rPr>
      </w:pPr>
    </w:p>
    <w:p w14:paraId="7306BBDF" w14:textId="76A4DD32" w:rsidR="009857BC" w:rsidRDefault="009857BC" w:rsidP="009857BC">
      <w:pPr>
        <w:pStyle w:val="Sangradetextonormal"/>
        <w:ind w:left="0"/>
        <w:contextualSpacing/>
        <w:jc w:val="both"/>
        <w:rPr>
          <w:rFonts w:ascii="Verdana" w:hAnsi="Verdana"/>
          <w:b/>
          <w:iCs/>
          <w:color w:val="800000"/>
          <w:sz w:val="18"/>
          <w:szCs w:val="18"/>
        </w:rPr>
      </w:pPr>
      <w:r w:rsidRPr="009857BC">
        <w:rPr>
          <w:rFonts w:ascii="Verdana" w:hAnsi="Verdana"/>
          <w:b/>
          <w:iCs/>
          <w:color w:val="800000"/>
          <w:sz w:val="18"/>
          <w:szCs w:val="18"/>
        </w:rPr>
        <w:t>COMUNIDADES AUTÓNOMAS Y FORALES</w:t>
      </w:r>
    </w:p>
    <w:p w14:paraId="2DC6C246" w14:textId="3D17BBB1" w:rsidR="00845283" w:rsidRDefault="00845283" w:rsidP="009857BC">
      <w:pPr>
        <w:pStyle w:val="Sangradetextonormal"/>
        <w:ind w:left="0"/>
        <w:contextualSpacing/>
        <w:jc w:val="both"/>
        <w:rPr>
          <w:rFonts w:ascii="Verdana" w:hAnsi="Verdana"/>
          <w:b/>
          <w:iCs/>
          <w:color w:val="800000"/>
          <w:sz w:val="18"/>
          <w:szCs w:val="18"/>
        </w:rPr>
      </w:pPr>
    </w:p>
    <w:p w14:paraId="1CB60347" w14:textId="77777777" w:rsidR="00845283" w:rsidRPr="00845283" w:rsidRDefault="00845283" w:rsidP="00845283">
      <w:pPr>
        <w:pStyle w:val="Sangradetextonormal"/>
        <w:ind w:left="0"/>
        <w:contextualSpacing/>
        <w:jc w:val="both"/>
        <w:rPr>
          <w:rFonts w:ascii="Verdana" w:hAnsi="Verdana"/>
          <w:b/>
          <w:iCs/>
          <w:color w:val="800000"/>
          <w:sz w:val="18"/>
          <w:szCs w:val="18"/>
        </w:rPr>
      </w:pPr>
      <w:r w:rsidRPr="00845283">
        <w:rPr>
          <w:rFonts w:ascii="Verdana" w:hAnsi="Verdana"/>
          <w:b/>
          <w:iCs/>
          <w:color w:val="800000"/>
          <w:sz w:val="18"/>
          <w:szCs w:val="18"/>
        </w:rPr>
        <w:t>COMUNIDAD AUTÓNOMA DE CANARIAS</w:t>
      </w:r>
    </w:p>
    <w:p w14:paraId="0DA86DD3" w14:textId="77777777" w:rsidR="00845283" w:rsidRPr="00845283" w:rsidRDefault="00845283" w:rsidP="00845283">
      <w:pPr>
        <w:pStyle w:val="Sangradetextonormal"/>
        <w:ind w:left="0"/>
        <w:contextualSpacing/>
        <w:jc w:val="both"/>
        <w:rPr>
          <w:rFonts w:ascii="Verdana" w:hAnsi="Verdana"/>
          <w:b/>
          <w:iCs/>
          <w:color w:val="800000"/>
          <w:sz w:val="18"/>
          <w:szCs w:val="18"/>
        </w:rPr>
      </w:pPr>
      <w:r w:rsidRPr="00845283">
        <w:rPr>
          <w:rFonts w:ascii="Verdana" w:hAnsi="Verdana"/>
          <w:b/>
          <w:iCs/>
          <w:color w:val="800000"/>
          <w:sz w:val="18"/>
          <w:szCs w:val="18"/>
        </w:rPr>
        <w:t>Ayudas</w:t>
      </w:r>
    </w:p>
    <w:p w14:paraId="52883AFC" w14:textId="305BF016" w:rsidR="00845283" w:rsidRDefault="00845283" w:rsidP="00845283">
      <w:pPr>
        <w:pStyle w:val="Sangradetextonormal"/>
        <w:ind w:left="0"/>
        <w:contextualSpacing/>
        <w:jc w:val="both"/>
        <w:rPr>
          <w:rFonts w:ascii="Verdana" w:hAnsi="Verdana"/>
          <w:bCs/>
          <w:sz w:val="18"/>
          <w:szCs w:val="18"/>
        </w:rPr>
      </w:pPr>
      <w:r w:rsidRPr="00845283">
        <w:rPr>
          <w:rFonts w:ascii="Verdana" w:hAnsi="Verdana"/>
          <w:bCs/>
          <w:sz w:val="18"/>
          <w:szCs w:val="18"/>
        </w:rPr>
        <w:t>Ley 1/2020, de 20 de marzo, de medidas urgentes, por la que se regula la ayuda para la adquisición de medicamentos financiados por el Sistema Nacional de Salud a las personas que ostenten la condición de pensionistas de la Seguridad Social y sus beneficiarios cuya renta anual sea inferior a 18.000 euros.</w:t>
      </w:r>
    </w:p>
    <w:p w14:paraId="52164126" w14:textId="3ACE41BF" w:rsidR="008F7320" w:rsidRDefault="008F7320" w:rsidP="00845283">
      <w:pPr>
        <w:pStyle w:val="Sangradetextonormal"/>
        <w:ind w:left="0"/>
        <w:contextualSpacing/>
        <w:jc w:val="both"/>
        <w:rPr>
          <w:rFonts w:ascii="Verdana" w:hAnsi="Verdana"/>
          <w:bCs/>
          <w:sz w:val="18"/>
          <w:szCs w:val="18"/>
        </w:rPr>
      </w:pPr>
    </w:p>
    <w:p w14:paraId="1C9B255E" w14:textId="77777777" w:rsidR="008F7320" w:rsidRPr="008F7320" w:rsidRDefault="008F7320" w:rsidP="008F7320">
      <w:pPr>
        <w:pStyle w:val="Sangradetextonormal"/>
        <w:ind w:left="0"/>
        <w:contextualSpacing/>
        <w:jc w:val="both"/>
        <w:rPr>
          <w:rFonts w:ascii="Verdana" w:hAnsi="Verdana"/>
          <w:b/>
          <w:iCs/>
          <w:color w:val="800000"/>
          <w:sz w:val="18"/>
          <w:szCs w:val="18"/>
        </w:rPr>
      </w:pPr>
      <w:r w:rsidRPr="008F7320">
        <w:rPr>
          <w:rFonts w:ascii="Verdana" w:hAnsi="Verdana"/>
          <w:b/>
          <w:iCs/>
          <w:color w:val="800000"/>
          <w:sz w:val="18"/>
          <w:szCs w:val="18"/>
        </w:rPr>
        <w:t>Presupuestos</w:t>
      </w:r>
    </w:p>
    <w:p w14:paraId="15BD084B" w14:textId="6D36EC10" w:rsidR="008F7320" w:rsidRDefault="008F7320" w:rsidP="008F7320">
      <w:pPr>
        <w:pStyle w:val="Sangradetextonormal"/>
        <w:ind w:left="0"/>
        <w:contextualSpacing/>
        <w:jc w:val="both"/>
        <w:rPr>
          <w:rFonts w:ascii="Verdana" w:hAnsi="Verdana"/>
          <w:bCs/>
          <w:sz w:val="18"/>
          <w:szCs w:val="18"/>
        </w:rPr>
      </w:pPr>
      <w:r w:rsidRPr="008F7320">
        <w:rPr>
          <w:rFonts w:ascii="Verdana" w:hAnsi="Verdana"/>
          <w:bCs/>
          <w:sz w:val="18"/>
          <w:szCs w:val="18"/>
        </w:rPr>
        <w:t>Corrección de errores de la Ley 19/</w:t>
      </w:r>
      <w:r w:rsidR="00753E93">
        <w:rPr>
          <w:rFonts w:ascii="Verdana" w:hAnsi="Verdana"/>
          <w:bCs/>
          <w:sz w:val="18"/>
          <w:szCs w:val="18"/>
        </w:rPr>
        <w:t>2020</w:t>
      </w:r>
      <w:r w:rsidRPr="008F7320">
        <w:rPr>
          <w:rFonts w:ascii="Verdana" w:hAnsi="Verdana"/>
          <w:bCs/>
          <w:sz w:val="18"/>
          <w:szCs w:val="18"/>
        </w:rPr>
        <w:t>, de 30 de diciembre, de Presupuestos Generales de la Comunidad Autónoma de Canarias para 2020.</w:t>
      </w:r>
    </w:p>
    <w:p w14:paraId="59DE864B" w14:textId="00BCAE48" w:rsidR="00845283" w:rsidRDefault="00845283" w:rsidP="00845283">
      <w:pPr>
        <w:pStyle w:val="Sangradetextonormal"/>
        <w:ind w:left="0"/>
        <w:contextualSpacing/>
        <w:rPr>
          <w:rFonts w:ascii="Verdana" w:hAnsi="Verdana"/>
          <w:bCs/>
          <w:i/>
          <w:sz w:val="18"/>
          <w:szCs w:val="18"/>
        </w:rPr>
      </w:pPr>
      <w:bookmarkStart w:id="2" w:name="_Hlk46740621"/>
      <w:r w:rsidRPr="00BE784E">
        <w:rPr>
          <w:rFonts w:ascii="Verdana" w:hAnsi="Verdana"/>
          <w:bCs/>
          <w:i/>
          <w:sz w:val="18"/>
          <w:szCs w:val="18"/>
        </w:rPr>
        <w:t xml:space="preserve">B.O.E. </w:t>
      </w:r>
      <w:r>
        <w:rPr>
          <w:rFonts w:ascii="Verdana" w:hAnsi="Verdana"/>
          <w:bCs/>
          <w:i/>
          <w:sz w:val="18"/>
          <w:szCs w:val="18"/>
        </w:rPr>
        <w:t>núm. 197 de 20 de julio de 2020.</w:t>
      </w:r>
    </w:p>
    <w:p w14:paraId="3C86C69F" w14:textId="77777777" w:rsidR="004F5978" w:rsidRDefault="004F5978" w:rsidP="00845283">
      <w:pPr>
        <w:pStyle w:val="Sangradetextonormal"/>
        <w:ind w:left="0"/>
        <w:contextualSpacing/>
        <w:rPr>
          <w:rFonts w:ascii="Verdana" w:hAnsi="Verdana"/>
          <w:bCs/>
          <w:i/>
          <w:sz w:val="18"/>
          <w:szCs w:val="18"/>
        </w:rPr>
      </w:pPr>
    </w:p>
    <w:bookmarkEnd w:id="2"/>
    <w:p w14:paraId="6176BF52" w14:textId="23968B5A" w:rsidR="008F7320" w:rsidRDefault="008F7320" w:rsidP="00845283">
      <w:pPr>
        <w:pStyle w:val="Sangradetextonormal"/>
        <w:ind w:left="0"/>
        <w:contextualSpacing/>
        <w:rPr>
          <w:rFonts w:ascii="Verdana" w:hAnsi="Verdana"/>
          <w:bCs/>
          <w:i/>
          <w:sz w:val="18"/>
          <w:szCs w:val="18"/>
        </w:rPr>
      </w:pPr>
    </w:p>
    <w:p w14:paraId="71FEE05D" w14:textId="77777777" w:rsidR="008F7320" w:rsidRPr="008F7320" w:rsidRDefault="008F7320" w:rsidP="008F7320">
      <w:pPr>
        <w:pStyle w:val="Sangradetextonormal"/>
        <w:ind w:left="0"/>
        <w:contextualSpacing/>
        <w:jc w:val="both"/>
        <w:rPr>
          <w:rFonts w:ascii="Verdana" w:hAnsi="Verdana"/>
          <w:b/>
          <w:iCs/>
          <w:color w:val="800000"/>
          <w:sz w:val="18"/>
          <w:szCs w:val="18"/>
        </w:rPr>
      </w:pPr>
      <w:r w:rsidRPr="008F7320">
        <w:rPr>
          <w:rFonts w:ascii="Verdana" w:hAnsi="Verdana"/>
          <w:b/>
          <w:iCs/>
          <w:color w:val="800000"/>
          <w:sz w:val="18"/>
          <w:szCs w:val="18"/>
        </w:rPr>
        <w:t>COMUNIDAD AUTÓNOMA DE EXTREMADURA</w:t>
      </w:r>
    </w:p>
    <w:p w14:paraId="59F2316A" w14:textId="77777777" w:rsidR="008F7320" w:rsidRPr="008F7320" w:rsidRDefault="008F7320" w:rsidP="008F7320">
      <w:pPr>
        <w:pStyle w:val="Sangradetextonormal"/>
        <w:ind w:left="0"/>
        <w:contextualSpacing/>
        <w:jc w:val="both"/>
        <w:rPr>
          <w:rFonts w:ascii="Verdana" w:hAnsi="Verdana"/>
          <w:b/>
          <w:iCs/>
          <w:color w:val="800000"/>
          <w:sz w:val="18"/>
          <w:szCs w:val="18"/>
        </w:rPr>
      </w:pPr>
      <w:r w:rsidRPr="008F7320">
        <w:rPr>
          <w:rFonts w:ascii="Verdana" w:hAnsi="Verdana"/>
          <w:b/>
          <w:iCs/>
          <w:color w:val="800000"/>
          <w:sz w:val="18"/>
          <w:szCs w:val="18"/>
        </w:rPr>
        <w:lastRenderedPageBreak/>
        <w:t>Medidas económicas y sociales</w:t>
      </w:r>
    </w:p>
    <w:p w14:paraId="616CC37A" w14:textId="3B5EA36C" w:rsidR="008F7320" w:rsidRPr="008F7320" w:rsidRDefault="008F7320" w:rsidP="008F7320">
      <w:pPr>
        <w:pStyle w:val="Sangradetextonormal"/>
        <w:ind w:left="0"/>
        <w:contextualSpacing/>
        <w:jc w:val="both"/>
        <w:rPr>
          <w:rFonts w:ascii="Verdana" w:hAnsi="Verdana"/>
          <w:bCs/>
          <w:iCs/>
          <w:sz w:val="18"/>
          <w:szCs w:val="18"/>
        </w:rPr>
      </w:pPr>
      <w:r w:rsidRPr="008F7320">
        <w:rPr>
          <w:rFonts w:ascii="Verdana" w:hAnsi="Verdana"/>
          <w:bCs/>
          <w:iCs/>
          <w:sz w:val="18"/>
          <w:szCs w:val="18"/>
        </w:rPr>
        <w:t>Decreto-ley 12/2020, de 19 de junio, de medidas extraordinarias y urgentes para la reactivación de la actividad económica y social en la Comunidad Autónoma de Extremadura en el proceso hacia la "Nueva Normalidad".</w:t>
      </w:r>
    </w:p>
    <w:p w14:paraId="6BBC1A2D" w14:textId="1D1471CC" w:rsidR="008F7320" w:rsidRDefault="008F7320" w:rsidP="008F7320">
      <w:pPr>
        <w:pStyle w:val="Sangradetextonormal"/>
        <w:ind w:left="0"/>
        <w:contextualSpacing/>
        <w:rPr>
          <w:rFonts w:ascii="Verdana" w:hAnsi="Verdana"/>
          <w:bCs/>
          <w:i/>
          <w:sz w:val="18"/>
          <w:szCs w:val="18"/>
        </w:rPr>
      </w:pPr>
      <w:r w:rsidRPr="00BE784E">
        <w:rPr>
          <w:rFonts w:ascii="Verdana" w:hAnsi="Verdana"/>
          <w:bCs/>
          <w:i/>
          <w:sz w:val="18"/>
          <w:szCs w:val="18"/>
        </w:rPr>
        <w:t xml:space="preserve">B.O.E. </w:t>
      </w:r>
      <w:r>
        <w:rPr>
          <w:rFonts w:ascii="Verdana" w:hAnsi="Verdana"/>
          <w:bCs/>
          <w:i/>
          <w:sz w:val="18"/>
          <w:szCs w:val="18"/>
        </w:rPr>
        <w:t>núm. 199 de 22 de julio de 2020.</w:t>
      </w:r>
    </w:p>
    <w:p w14:paraId="3611D85F" w14:textId="77777777" w:rsidR="0071540E" w:rsidRDefault="0071540E" w:rsidP="008F7320">
      <w:pPr>
        <w:pStyle w:val="Sangradetextonormal"/>
        <w:ind w:left="0"/>
        <w:contextualSpacing/>
        <w:rPr>
          <w:rFonts w:ascii="Verdana" w:hAnsi="Verdana"/>
          <w:bCs/>
          <w:i/>
          <w:sz w:val="18"/>
          <w:szCs w:val="18"/>
        </w:rPr>
      </w:pPr>
    </w:p>
    <w:p w14:paraId="4DC5C7C8" w14:textId="77777777" w:rsidR="004F5978" w:rsidRDefault="004F5978" w:rsidP="008F7320">
      <w:pPr>
        <w:pStyle w:val="Sangradetextonormal"/>
        <w:ind w:left="0"/>
        <w:contextualSpacing/>
        <w:rPr>
          <w:rFonts w:ascii="Verdana" w:hAnsi="Verdana"/>
          <w:bCs/>
          <w:i/>
          <w:sz w:val="18"/>
          <w:szCs w:val="18"/>
        </w:rPr>
      </w:pPr>
    </w:p>
    <w:p w14:paraId="2D73DE79" w14:textId="77777777" w:rsidR="0071540E" w:rsidRPr="0071540E" w:rsidRDefault="0071540E" w:rsidP="0071540E">
      <w:pPr>
        <w:pStyle w:val="Sangradetextonormal"/>
        <w:ind w:left="0"/>
        <w:contextualSpacing/>
        <w:jc w:val="both"/>
        <w:rPr>
          <w:rFonts w:ascii="Verdana" w:hAnsi="Verdana"/>
          <w:b/>
          <w:iCs/>
          <w:color w:val="800000"/>
          <w:sz w:val="18"/>
          <w:szCs w:val="18"/>
        </w:rPr>
      </w:pPr>
      <w:r w:rsidRPr="0071540E">
        <w:rPr>
          <w:rFonts w:ascii="Verdana" w:hAnsi="Verdana"/>
          <w:b/>
          <w:iCs/>
          <w:color w:val="800000"/>
          <w:sz w:val="18"/>
          <w:szCs w:val="18"/>
        </w:rPr>
        <w:t>COMUNIDAD AUTÓNOMA DE CATALUÑA</w:t>
      </w:r>
    </w:p>
    <w:p w14:paraId="512A88EC" w14:textId="77777777" w:rsidR="0071540E" w:rsidRPr="0071540E" w:rsidRDefault="0071540E" w:rsidP="0071540E">
      <w:pPr>
        <w:pStyle w:val="Sangradetextonormal"/>
        <w:ind w:left="0"/>
        <w:contextualSpacing/>
        <w:jc w:val="both"/>
        <w:rPr>
          <w:rFonts w:ascii="Verdana" w:hAnsi="Verdana"/>
          <w:b/>
          <w:iCs/>
          <w:color w:val="800000"/>
          <w:sz w:val="18"/>
          <w:szCs w:val="18"/>
        </w:rPr>
      </w:pPr>
      <w:r w:rsidRPr="0071540E">
        <w:rPr>
          <w:rFonts w:ascii="Verdana" w:hAnsi="Verdana"/>
          <w:b/>
          <w:iCs/>
          <w:color w:val="800000"/>
          <w:sz w:val="18"/>
          <w:szCs w:val="18"/>
        </w:rPr>
        <w:t>Medidas económicas, culturales y sociales</w:t>
      </w:r>
    </w:p>
    <w:p w14:paraId="65A694B8" w14:textId="67D3A2B8" w:rsidR="0071540E" w:rsidRDefault="0071540E" w:rsidP="004F5978">
      <w:pPr>
        <w:pStyle w:val="Sangradetextonormal"/>
        <w:ind w:left="0"/>
        <w:contextualSpacing/>
        <w:jc w:val="both"/>
        <w:rPr>
          <w:rFonts w:ascii="Verdana" w:hAnsi="Verdana"/>
          <w:bCs/>
          <w:sz w:val="18"/>
          <w:szCs w:val="18"/>
        </w:rPr>
      </w:pPr>
      <w:r w:rsidRPr="0071540E">
        <w:rPr>
          <w:rFonts w:ascii="Verdana" w:hAnsi="Verdana"/>
          <w:bCs/>
          <w:sz w:val="18"/>
          <w:szCs w:val="18"/>
        </w:rPr>
        <w:t>Decreto-ley 21/2020, de 2 de junio, de medidas urgentes de carácter económico, cultural y social.</w:t>
      </w:r>
    </w:p>
    <w:p w14:paraId="2A2A72FA" w14:textId="77777777" w:rsidR="00C21F67" w:rsidRPr="00C21F67" w:rsidRDefault="00C21F67" w:rsidP="00C21F67">
      <w:pPr>
        <w:pStyle w:val="Sangradetextonormal"/>
        <w:ind w:left="0"/>
        <w:contextualSpacing/>
        <w:jc w:val="both"/>
        <w:rPr>
          <w:rFonts w:ascii="Verdana" w:hAnsi="Verdana"/>
          <w:b/>
          <w:iCs/>
          <w:color w:val="800000"/>
          <w:sz w:val="18"/>
          <w:szCs w:val="18"/>
        </w:rPr>
      </w:pPr>
      <w:r w:rsidRPr="00C21F67">
        <w:rPr>
          <w:rFonts w:ascii="Verdana" w:hAnsi="Verdana"/>
          <w:b/>
          <w:iCs/>
          <w:color w:val="800000"/>
          <w:sz w:val="18"/>
          <w:szCs w:val="18"/>
        </w:rPr>
        <w:t>Medidas tributarias</w:t>
      </w:r>
    </w:p>
    <w:p w14:paraId="5B2EE6E4" w14:textId="3989BB8F" w:rsidR="00C21F67" w:rsidRDefault="00C21F67" w:rsidP="00C21F67">
      <w:pPr>
        <w:pStyle w:val="Sangradetextonormal"/>
        <w:ind w:left="0"/>
        <w:contextualSpacing/>
        <w:rPr>
          <w:rFonts w:ascii="Verdana" w:hAnsi="Verdana"/>
          <w:bCs/>
          <w:sz w:val="18"/>
          <w:szCs w:val="18"/>
        </w:rPr>
      </w:pPr>
      <w:r w:rsidRPr="00C21F67">
        <w:rPr>
          <w:rFonts w:ascii="Verdana" w:hAnsi="Verdana"/>
          <w:bCs/>
          <w:sz w:val="18"/>
          <w:szCs w:val="18"/>
        </w:rPr>
        <w:t>Decreto-ley 23/2020, de 9 de junio, de medidas urgentes en materia tributaria.</w:t>
      </w:r>
    </w:p>
    <w:p w14:paraId="796DD558" w14:textId="77777777" w:rsidR="00C21F67" w:rsidRPr="00C21F67" w:rsidRDefault="00C21F67" w:rsidP="00C21F67">
      <w:pPr>
        <w:pStyle w:val="Sangradetextonormal"/>
        <w:ind w:left="0"/>
        <w:contextualSpacing/>
        <w:jc w:val="both"/>
        <w:rPr>
          <w:rFonts w:ascii="Verdana" w:hAnsi="Verdana"/>
          <w:b/>
          <w:iCs/>
          <w:color w:val="800000"/>
          <w:sz w:val="18"/>
          <w:szCs w:val="18"/>
        </w:rPr>
      </w:pPr>
      <w:r w:rsidRPr="00C21F67">
        <w:rPr>
          <w:rFonts w:ascii="Verdana" w:hAnsi="Verdana"/>
          <w:b/>
          <w:iCs/>
          <w:color w:val="800000"/>
          <w:sz w:val="18"/>
          <w:szCs w:val="18"/>
        </w:rPr>
        <w:t>Medidas sociales, fiscales y administrativas</w:t>
      </w:r>
    </w:p>
    <w:p w14:paraId="7C90AB68" w14:textId="059E9C1D" w:rsidR="00C21F67" w:rsidRPr="0071540E" w:rsidRDefault="00C21F67" w:rsidP="004F5978">
      <w:pPr>
        <w:pStyle w:val="Sangradetextonormal"/>
        <w:ind w:left="0"/>
        <w:contextualSpacing/>
        <w:jc w:val="both"/>
        <w:rPr>
          <w:rFonts w:ascii="Verdana" w:hAnsi="Verdana"/>
          <w:bCs/>
          <w:sz w:val="18"/>
          <w:szCs w:val="18"/>
        </w:rPr>
      </w:pPr>
      <w:r w:rsidRPr="00C21F67">
        <w:rPr>
          <w:rFonts w:ascii="Verdana" w:hAnsi="Verdana"/>
          <w:bCs/>
          <w:sz w:val="18"/>
          <w:szCs w:val="18"/>
        </w:rPr>
        <w:t>Decreto-ley 25/2020, de 16 de junio, de medidas extraordinarias en materia social y de carácter fiscal y administrativo.</w:t>
      </w:r>
    </w:p>
    <w:p w14:paraId="2996B4C2" w14:textId="41D20662" w:rsidR="00845283" w:rsidRDefault="0071540E" w:rsidP="00845283">
      <w:pPr>
        <w:pStyle w:val="Sangradetextonormal"/>
        <w:ind w:left="0"/>
        <w:contextualSpacing/>
        <w:jc w:val="both"/>
        <w:rPr>
          <w:rFonts w:ascii="Verdana" w:hAnsi="Verdana"/>
          <w:bCs/>
          <w:i/>
          <w:sz w:val="18"/>
          <w:szCs w:val="18"/>
        </w:rPr>
      </w:pPr>
      <w:r w:rsidRPr="0071540E">
        <w:rPr>
          <w:rFonts w:ascii="Verdana" w:hAnsi="Verdana"/>
          <w:bCs/>
          <w:i/>
          <w:sz w:val="18"/>
          <w:szCs w:val="18"/>
        </w:rPr>
        <w:t xml:space="preserve">B.O.E. núm. </w:t>
      </w:r>
      <w:r>
        <w:rPr>
          <w:rFonts w:ascii="Verdana" w:hAnsi="Verdana"/>
          <w:bCs/>
          <w:i/>
          <w:sz w:val="18"/>
          <w:szCs w:val="18"/>
        </w:rPr>
        <w:t>206</w:t>
      </w:r>
      <w:r w:rsidRPr="0071540E">
        <w:rPr>
          <w:rFonts w:ascii="Verdana" w:hAnsi="Verdana"/>
          <w:bCs/>
          <w:i/>
          <w:sz w:val="18"/>
          <w:szCs w:val="18"/>
        </w:rPr>
        <w:t xml:space="preserve"> de </w:t>
      </w:r>
      <w:r>
        <w:rPr>
          <w:rFonts w:ascii="Verdana" w:hAnsi="Verdana"/>
          <w:bCs/>
          <w:i/>
          <w:sz w:val="18"/>
          <w:szCs w:val="18"/>
        </w:rPr>
        <w:t>30</w:t>
      </w:r>
      <w:r w:rsidRPr="0071540E">
        <w:rPr>
          <w:rFonts w:ascii="Verdana" w:hAnsi="Verdana"/>
          <w:bCs/>
          <w:i/>
          <w:sz w:val="18"/>
          <w:szCs w:val="18"/>
        </w:rPr>
        <w:t xml:space="preserve"> de julio de 2020.</w:t>
      </w:r>
    </w:p>
    <w:p w14:paraId="314BAA7B" w14:textId="3ED7F219" w:rsidR="00005E9D" w:rsidRDefault="00005E9D" w:rsidP="00845283">
      <w:pPr>
        <w:pStyle w:val="Sangradetextonormal"/>
        <w:ind w:left="0"/>
        <w:contextualSpacing/>
        <w:jc w:val="both"/>
        <w:rPr>
          <w:rFonts w:ascii="Verdana" w:hAnsi="Verdana"/>
          <w:bCs/>
          <w:i/>
          <w:sz w:val="18"/>
          <w:szCs w:val="18"/>
        </w:rPr>
      </w:pPr>
    </w:p>
    <w:p w14:paraId="747B52AA" w14:textId="77777777" w:rsidR="00005E9D" w:rsidRPr="00005E9D" w:rsidRDefault="00005E9D" w:rsidP="00005E9D">
      <w:pPr>
        <w:pStyle w:val="Sangradetextonormal"/>
        <w:ind w:left="0"/>
        <w:contextualSpacing/>
        <w:jc w:val="both"/>
        <w:rPr>
          <w:rFonts w:ascii="Verdana" w:hAnsi="Verdana"/>
          <w:b/>
          <w:iCs/>
          <w:color w:val="800000"/>
          <w:sz w:val="18"/>
          <w:szCs w:val="18"/>
        </w:rPr>
      </w:pPr>
      <w:r w:rsidRPr="00005E9D">
        <w:rPr>
          <w:rFonts w:ascii="Verdana" w:hAnsi="Verdana"/>
          <w:b/>
          <w:iCs/>
          <w:color w:val="800000"/>
          <w:sz w:val="18"/>
          <w:szCs w:val="18"/>
        </w:rPr>
        <w:t>Código Civil de Cataluña</w:t>
      </w:r>
    </w:p>
    <w:p w14:paraId="7D6F7282" w14:textId="3A1F4A1B" w:rsidR="00005E9D" w:rsidRPr="00005E9D" w:rsidRDefault="00005E9D" w:rsidP="00005E9D">
      <w:pPr>
        <w:pStyle w:val="Sangradetextonormal"/>
        <w:ind w:left="0"/>
        <w:contextualSpacing/>
        <w:jc w:val="both"/>
        <w:rPr>
          <w:rFonts w:ascii="Verdana" w:hAnsi="Verdana"/>
          <w:bCs/>
          <w:iCs/>
          <w:sz w:val="18"/>
          <w:szCs w:val="18"/>
        </w:rPr>
      </w:pPr>
      <w:r w:rsidRPr="00005E9D">
        <w:rPr>
          <w:rFonts w:ascii="Verdana" w:hAnsi="Verdana"/>
          <w:bCs/>
          <w:iCs/>
          <w:sz w:val="18"/>
          <w:szCs w:val="18"/>
        </w:rPr>
        <w:t>Ley 9/2020, de 31 de julio, de modificación del libro segundo del Código civil de Cataluña, relativo a la persona y la familia, y de la Ley 15/2009, de mediación en el ámbito del derecho privado.</w:t>
      </w:r>
    </w:p>
    <w:p w14:paraId="378E2C08" w14:textId="0FC33FC7" w:rsidR="004F5978" w:rsidRDefault="00005E9D" w:rsidP="00845283">
      <w:pPr>
        <w:pStyle w:val="Sangradetextonormal"/>
        <w:ind w:left="0"/>
        <w:contextualSpacing/>
        <w:jc w:val="both"/>
        <w:rPr>
          <w:rFonts w:ascii="Verdana" w:hAnsi="Verdana"/>
          <w:bCs/>
          <w:i/>
          <w:sz w:val="18"/>
          <w:szCs w:val="18"/>
        </w:rPr>
      </w:pPr>
      <w:r w:rsidRPr="00005E9D">
        <w:rPr>
          <w:rFonts w:ascii="Verdana" w:hAnsi="Verdana"/>
          <w:bCs/>
          <w:i/>
          <w:sz w:val="18"/>
          <w:szCs w:val="18"/>
        </w:rPr>
        <w:t>B.O.E. núm. 212 de 6 de agosto de 2020.</w:t>
      </w:r>
    </w:p>
    <w:p w14:paraId="50726878" w14:textId="77777777" w:rsidR="00005E9D" w:rsidRDefault="00005E9D" w:rsidP="00845283">
      <w:pPr>
        <w:pStyle w:val="Sangradetextonormal"/>
        <w:ind w:left="0"/>
        <w:contextualSpacing/>
        <w:jc w:val="both"/>
        <w:rPr>
          <w:rFonts w:ascii="Verdana" w:hAnsi="Verdana"/>
          <w:bCs/>
          <w:i/>
          <w:sz w:val="18"/>
          <w:szCs w:val="18"/>
        </w:rPr>
      </w:pPr>
    </w:p>
    <w:p w14:paraId="22BA18D2" w14:textId="77777777" w:rsidR="004F5978" w:rsidRDefault="004F5978" w:rsidP="00845283">
      <w:pPr>
        <w:pStyle w:val="Sangradetextonormal"/>
        <w:ind w:left="0"/>
        <w:contextualSpacing/>
        <w:jc w:val="both"/>
        <w:rPr>
          <w:rFonts w:ascii="Verdana" w:hAnsi="Verdana"/>
          <w:bCs/>
          <w:i/>
          <w:sz w:val="18"/>
          <w:szCs w:val="18"/>
        </w:rPr>
      </w:pPr>
    </w:p>
    <w:p w14:paraId="24D3EA66" w14:textId="77777777" w:rsidR="004F5978" w:rsidRPr="004F5978" w:rsidRDefault="004F5978" w:rsidP="004F5978">
      <w:pPr>
        <w:pStyle w:val="Sangradetextonormal"/>
        <w:tabs>
          <w:tab w:val="left" w:pos="3775"/>
        </w:tabs>
        <w:ind w:left="0"/>
        <w:contextualSpacing/>
        <w:jc w:val="both"/>
        <w:rPr>
          <w:rFonts w:ascii="Verdana" w:hAnsi="Verdana"/>
          <w:b/>
          <w:iCs/>
          <w:color w:val="800000"/>
          <w:sz w:val="18"/>
          <w:szCs w:val="18"/>
        </w:rPr>
      </w:pPr>
      <w:r w:rsidRPr="004F5978">
        <w:rPr>
          <w:rFonts w:ascii="Verdana" w:hAnsi="Verdana"/>
          <w:b/>
          <w:iCs/>
          <w:color w:val="800000"/>
          <w:sz w:val="18"/>
          <w:szCs w:val="18"/>
        </w:rPr>
        <w:t>COMUNIDAD AUTÓNOMA DE EXTREMADURA</w:t>
      </w:r>
    </w:p>
    <w:p w14:paraId="70D41EF9" w14:textId="77777777" w:rsidR="004F5978" w:rsidRPr="004F5978" w:rsidRDefault="004F5978" w:rsidP="004F5978">
      <w:pPr>
        <w:pStyle w:val="Sangradetextonormal"/>
        <w:tabs>
          <w:tab w:val="left" w:pos="3775"/>
        </w:tabs>
        <w:ind w:left="0"/>
        <w:contextualSpacing/>
        <w:jc w:val="both"/>
        <w:rPr>
          <w:rFonts w:ascii="Verdana" w:hAnsi="Verdana"/>
          <w:b/>
          <w:iCs/>
          <w:color w:val="800000"/>
          <w:sz w:val="18"/>
          <w:szCs w:val="18"/>
        </w:rPr>
      </w:pPr>
      <w:r w:rsidRPr="004F5978">
        <w:rPr>
          <w:rFonts w:ascii="Verdana" w:hAnsi="Verdana"/>
          <w:b/>
          <w:iCs/>
          <w:color w:val="800000"/>
          <w:sz w:val="18"/>
          <w:szCs w:val="18"/>
        </w:rPr>
        <w:t>Medidas económicas y sociales</w:t>
      </w:r>
    </w:p>
    <w:p w14:paraId="5856EF87" w14:textId="14B52115" w:rsidR="004F5978" w:rsidRPr="004F5978" w:rsidRDefault="004F5978" w:rsidP="004F5978">
      <w:pPr>
        <w:pStyle w:val="Sangradetextonormal"/>
        <w:ind w:left="0"/>
        <w:contextualSpacing/>
        <w:jc w:val="both"/>
        <w:rPr>
          <w:rFonts w:ascii="Verdana" w:hAnsi="Verdana"/>
          <w:bCs/>
          <w:sz w:val="18"/>
          <w:szCs w:val="18"/>
        </w:rPr>
      </w:pPr>
      <w:r w:rsidRPr="004F5978">
        <w:rPr>
          <w:rFonts w:ascii="Verdana" w:hAnsi="Verdana"/>
          <w:bCs/>
          <w:sz w:val="18"/>
          <w:szCs w:val="18"/>
        </w:rPr>
        <w:t>Corrección de errores del Decreto-ley 12/2020, de 19 de junio, de medidas extraordinarias y urgentes para la reactivación de la actividad económica y social en la Comunidad Autónoma de Extremadura en el proceso hacia la "Nueva Normalidad".</w:t>
      </w:r>
    </w:p>
    <w:p w14:paraId="013DF39B" w14:textId="42CD25FD" w:rsidR="004F5978" w:rsidRDefault="004F5978" w:rsidP="004F5978">
      <w:pPr>
        <w:pStyle w:val="Sangradetextonormal"/>
        <w:ind w:left="0"/>
        <w:contextualSpacing/>
        <w:jc w:val="both"/>
        <w:rPr>
          <w:rFonts w:ascii="Verdana" w:hAnsi="Verdana"/>
          <w:bCs/>
          <w:i/>
          <w:sz w:val="18"/>
          <w:szCs w:val="18"/>
        </w:rPr>
      </w:pPr>
      <w:r w:rsidRPr="004F5978">
        <w:rPr>
          <w:rFonts w:ascii="Verdana" w:hAnsi="Verdana"/>
          <w:bCs/>
          <w:i/>
          <w:sz w:val="18"/>
          <w:szCs w:val="18"/>
        </w:rPr>
        <w:t>B.O.E. núm. 206 de 30 de julio de 2020.</w:t>
      </w:r>
    </w:p>
    <w:p w14:paraId="53373174" w14:textId="0771011E" w:rsidR="009E4127" w:rsidRDefault="009E4127" w:rsidP="004F5978">
      <w:pPr>
        <w:pStyle w:val="Sangradetextonormal"/>
        <w:ind w:left="0"/>
        <w:contextualSpacing/>
        <w:jc w:val="both"/>
        <w:rPr>
          <w:rFonts w:ascii="Verdana" w:hAnsi="Verdana"/>
          <w:bCs/>
          <w:i/>
          <w:sz w:val="18"/>
          <w:szCs w:val="18"/>
        </w:rPr>
      </w:pPr>
    </w:p>
    <w:p w14:paraId="2E4A5F50" w14:textId="77777777" w:rsidR="009E4127" w:rsidRPr="009E4127" w:rsidRDefault="009E4127" w:rsidP="009E4127">
      <w:pPr>
        <w:pStyle w:val="Sangradetextonormal"/>
        <w:tabs>
          <w:tab w:val="left" w:pos="3775"/>
        </w:tabs>
        <w:ind w:left="0"/>
        <w:contextualSpacing/>
        <w:jc w:val="both"/>
        <w:rPr>
          <w:rFonts w:ascii="Verdana" w:hAnsi="Verdana"/>
          <w:b/>
          <w:iCs/>
          <w:color w:val="800000"/>
          <w:sz w:val="18"/>
          <w:szCs w:val="18"/>
        </w:rPr>
      </w:pPr>
      <w:r w:rsidRPr="009E4127">
        <w:rPr>
          <w:rFonts w:ascii="Verdana" w:hAnsi="Verdana"/>
          <w:b/>
          <w:iCs/>
          <w:color w:val="800000"/>
          <w:sz w:val="18"/>
          <w:szCs w:val="18"/>
        </w:rPr>
        <w:t>Actividades económicas</w:t>
      </w:r>
    </w:p>
    <w:p w14:paraId="15448470" w14:textId="76374020" w:rsidR="009E4127" w:rsidRPr="009E4127" w:rsidRDefault="009E4127" w:rsidP="009E4127">
      <w:pPr>
        <w:pStyle w:val="Sangradetextonormal"/>
        <w:ind w:left="0"/>
        <w:contextualSpacing/>
        <w:jc w:val="both"/>
        <w:rPr>
          <w:rFonts w:ascii="Verdana" w:hAnsi="Verdana"/>
          <w:bCs/>
          <w:iCs/>
          <w:sz w:val="18"/>
          <w:szCs w:val="18"/>
        </w:rPr>
      </w:pPr>
      <w:r w:rsidRPr="009E4127">
        <w:rPr>
          <w:rFonts w:ascii="Verdana" w:hAnsi="Verdana"/>
          <w:bCs/>
          <w:iCs/>
          <w:sz w:val="18"/>
          <w:szCs w:val="18"/>
        </w:rPr>
        <w:t>Decreto-ley 14/2020, de 22 de julio, de medidas para la activación de la demanda en la Comunidad Autónoma de Extremadura tras la crisis sanitaria.</w:t>
      </w:r>
    </w:p>
    <w:p w14:paraId="2526FF8E" w14:textId="2371CCAE" w:rsidR="00845283" w:rsidRPr="009E4127" w:rsidRDefault="009E4127" w:rsidP="009857BC">
      <w:pPr>
        <w:pStyle w:val="Sangradetextonormal"/>
        <w:ind w:left="0"/>
        <w:contextualSpacing/>
        <w:jc w:val="both"/>
        <w:rPr>
          <w:rFonts w:ascii="Verdana" w:hAnsi="Verdana"/>
          <w:bCs/>
          <w:i/>
          <w:sz w:val="18"/>
          <w:szCs w:val="18"/>
        </w:rPr>
      </w:pPr>
      <w:r w:rsidRPr="009E4127">
        <w:rPr>
          <w:rFonts w:ascii="Verdana" w:hAnsi="Verdana"/>
          <w:bCs/>
          <w:i/>
          <w:sz w:val="18"/>
          <w:szCs w:val="18"/>
        </w:rPr>
        <w:t>B.O.E. núm. 2</w:t>
      </w:r>
      <w:r>
        <w:rPr>
          <w:rFonts w:ascii="Verdana" w:hAnsi="Verdana"/>
          <w:bCs/>
          <w:i/>
          <w:sz w:val="18"/>
          <w:szCs w:val="18"/>
        </w:rPr>
        <w:t>20</w:t>
      </w:r>
      <w:r w:rsidRPr="009E4127">
        <w:rPr>
          <w:rFonts w:ascii="Verdana" w:hAnsi="Verdana"/>
          <w:bCs/>
          <w:i/>
          <w:sz w:val="18"/>
          <w:szCs w:val="18"/>
        </w:rPr>
        <w:t xml:space="preserve"> de 1</w:t>
      </w:r>
      <w:r w:rsidR="00F368F5">
        <w:rPr>
          <w:rFonts w:ascii="Verdana" w:hAnsi="Verdana"/>
          <w:bCs/>
          <w:i/>
          <w:sz w:val="18"/>
          <w:szCs w:val="18"/>
        </w:rPr>
        <w:t>5</w:t>
      </w:r>
      <w:r w:rsidRPr="009E4127">
        <w:rPr>
          <w:rFonts w:ascii="Verdana" w:hAnsi="Verdana"/>
          <w:bCs/>
          <w:i/>
          <w:sz w:val="18"/>
          <w:szCs w:val="18"/>
        </w:rPr>
        <w:t xml:space="preserve"> de agosto de 2020.</w:t>
      </w:r>
    </w:p>
    <w:p w14:paraId="296D14DA" w14:textId="58C5AA16" w:rsidR="009E4127" w:rsidRDefault="009E4127" w:rsidP="009857BC">
      <w:pPr>
        <w:pStyle w:val="Sangradetextonormal"/>
        <w:ind w:left="0"/>
        <w:contextualSpacing/>
        <w:jc w:val="both"/>
        <w:rPr>
          <w:rFonts w:ascii="Verdana" w:hAnsi="Verdana"/>
          <w:b/>
          <w:iCs/>
          <w:color w:val="800000"/>
          <w:sz w:val="18"/>
          <w:szCs w:val="18"/>
        </w:rPr>
      </w:pPr>
    </w:p>
    <w:p w14:paraId="321B055B" w14:textId="77777777" w:rsidR="009E4127" w:rsidRDefault="009E4127" w:rsidP="009857BC">
      <w:pPr>
        <w:pStyle w:val="Sangradetextonormal"/>
        <w:ind w:left="0"/>
        <w:contextualSpacing/>
        <w:jc w:val="both"/>
        <w:rPr>
          <w:rFonts w:ascii="Verdana" w:hAnsi="Verdana"/>
          <w:b/>
          <w:iCs/>
          <w:color w:val="800000"/>
          <w:sz w:val="18"/>
          <w:szCs w:val="18"/>
        </w:rPr>
      </w:pPr>
    </w:p>
    <w:p w14:paraId="64624A8D" w14:textId="5FDB9E13" w:rsidR="009857BC" w:rsidRDefault="004F5978" w:rsidP="009857BC">
      <w:pPr>
        <w:pStyle w:val="Sangradetextonormal"/>
        <w:ind w:left="0"/>
        <w:contextualSpacing/>
        <w:jc w:val="both"/>
        <w:rPr>
          <w:rFonts w:ascii="Verdana" w:hAnsi="Verdana"/>
          <w:b/>
          <w:iCs/>
          <w:color w:val="800000"/>
          <w:sz w:val="18"/>
          <w:szCs w:val="18"/>
        </w:rPr>
      </w:pPr>
      <w:r w:rsidRPr="004F5978">
        <w:rPr>
          <w:rFonts w:ascii="Verdana" w:hAnsi="Verdana"/>
          <w:b/>
          <w:iCs/>
          <w:color w:val="800000"/>
          <w:sz w:val="18"/>
          <w:szCs w:val="18"/>
        </w:rPr>
        <w:t>COMUNIDAD AUTÓNOMA DE CANTABRIA</w:t>
      </w:r>
    </w:p>
    <w:p w14:paraId="4E90943F" w14:textId="77777777" w:rsidR="004F5978" w:rsidRPr="004F5978" w:rsidRDefault="004F5978" w:rsidP="004F5978">
      <w:pPr>
        <w:pStyle w:val="Sangradetextonormal"/>
        <w:ind w:left="0"/>
        <w:contextualSpacing/>
        <w:jc w:val="both"/>
        <w:rPr>
          <w:rFonts w:ascii="Verdana" w:hAnsi="Verdana"/>
          <w:b/>
          <w:iCs/>
          <w:color w:val="800000"/>
          <w:sz w:val="18"/>
          <w:szCs w:val="18"/>
        </w:rPr>
      </w:pPr>
      <w:r w:rsidRPr="004F5978">
        <w:rPr>
          <w:rFonts w:ascii="Verdana" w:hAnsi="Verdana"/>
          <w:b/>
          <w:iCs/>
          <w:color w:val="800000"/>
          <w:sz w:val="18"/>
          <w:szCs w:val="18"/>
        </w:rPr>
        <w:t>Ayudas</w:t>
      </w:r>
    </w:p>
    <w:p w14:paraId="074C17EC" w14:textId="1B9407FC" w:rsidR="004F5978" w:rsidRDefault="004F5978" w:rsidP="004F5978">
      <w:pPr>
        <w:pStyle w:val="Sangradetextonormal"/>
        <w:ind w:left="0"/>
        <w:contextualSpacing/>
        <w:jc w:val="both"/>
        <w:rPr>
          <w:rFonts w:ascii="Verdana" w:hAnsi="Verdana"/>
          <w:bCs/>
          <w:sz w:val="18"/>
          <w:szCs w:val="18"/>
        </w:rPr>
      </w:pPr>
      <w:r w:rsidRPr="004F5978">
        <w:rPr>
          <w:rFonts w:ascii="Verdana" w:hAnsi="Verdana"/>
          <w:bCs/>
          <w:sz w:val="18"/>
          <w:szCs w:val="18"/>
        </w:rPr>
        <w:t>Ley 2/2020, de 28 de mayo, de concesión de ayudas económicas para mejorar las rentas de personas trabajadoras afectadas por expedientes de regulación temporal de empleo en el contexto de la crisis ocasionada por la pandemia de COVID-19.</w:t>
      </w:r>
    </w:p>
    <w:p w14:paraId="46962D99" w14:textId="3AEBDD8A" w:rsidR="004F5978" w:rsidRPr="004F5978" w:rsidRDefault="004F5978" w:rsidP="004F5978">
      <w:pPr>
        <w:pStyle w:val="Sangradetextonormal"/>
        <w:ind w:left="0"/>
        <w:contextualSpacing/>
        <w:jc w:val="both"/>
        <w:rPr>
          <w:rFonts w:ascii="Verdana" w:hAnsi="Verdana"/>
          <w:bCs/>
          <w:sz w:val="18"/>
          <w:szCs w:val="18"/>
        </w:rPr>
      </w:pPr>
      <w:r w:rsidRPr="004F5978">
        <w:rPr>
          <w:rFonts w:ascii="Verdana" w:hAnsi="Verdana"/>
          <w:bCs/>
          <w:sz w:val="18"/>
          <w:szCs w:val="18"/>
        </w:rPr>
        <w:t>Ley 3/2020, de 28 de mayo, de agilización en la gestión de las ayudas a tramitar por la Sociedad de Desarrollo Regional de Cantabria, S.A. (SODERCAN) para atender a las situaciones económicas derivadas de la pandemia causada por el COVID-19.</w:t>
      </w:r>
    </w:p>
    <w:p w14:paraId="05D57358" w14:textId="1B8592D3" w:rsidR="004F5978" w:rsidRDefault="004F5978" w:rsidP="004F5978">
      <w:pPr>
        <w:pStyle w:val="Sangradetextonormal"/>
        <w:ind w:left="0"/>
        <w:contextualSpacing/>
        <w:jc w:val="both"/>
        <w:rPr>
          <w:rFonts w:ascii="Verdana" w:hAnsi="Verdana"/>
          <w:bCs/>
          <w:i/>
          <w:sz w:val="18"/>
          <w:szCs w:val="18"/>
        </w:rPr>
      </w:pPr>
      <w:r w:rsidRPr="004F5978">
        <w:rPr>
          <w:rFonts w:ascii="Verdana" w:hAnsi="Verdana"/>
          <w:bCs/>
          <w:i/>
          <w:sz w:val="18"/>
          <w:szCs w:val="18"/>
        </w:rPr>
        <w:t>B.O.E. núm. 20</w:t>
      </w:r>
      <w:r>
        <w:rPr>
          <w:rFonts w:ascii="Verdana" w:hAnsi="Verdana"/>
          <w:bCs/>
          <w:i/>
          <w:sz w:val="18"/>
          <w:szCs w:val="18"/>
        </w:rPr>
        <w:t>7</w:t>
      </w:r>
      <w:r w:rsidRPr="004F5978">
        <w:rPr>
          <w:rFonts w:ascii="Verdana" w:hAnsi="Verdana"/>
          <w:bCs/>
          <w:i/>
          <w:sz w:val="18"/>
          <w:szCs w:val="18"/>
        </w:rPr>
        <w:t xml:space="preserve"> de 3</w:t>
      </w:r>
      <w:r>
        <w:rPr>
          <w:rFonts w:ascii="Verdana" w:hAnsi="Verdana"/>
          <w:bCs/>
          <w:i/>
          <w:sz w:val="18"/>
          <w:szCs w:val="18"/>
        </w:rPr>
        <w:t>1</w:t>
      </w:r>
      <w:r w:rsidRPr="004F5978">
        <w:rPr>
          <w:rFonts w:ascii="Verdana" w:hAnsi="Verdana"/>
          <w:bCs/>
          <w:i/>
          <w:sz w:val="18"/>
          <w:szCs w:val="18"/>
        </w:rPr>
        <w:t xml:space="preserve"> de julio de 2020.</w:t>
      </w:r>
    </w:p>
    <w:p w14:paraId="6499D77F" w14:textId="77777777" w:rsidR="00217814" w:rsidRDefault="00217814" w:rsidP="004F5978">
      <w:pPr>
        <w:pStyle w:val="Sangradetextonormal"/>
        <w:ind w:left="0"/>
        <w:contextualSpacing/>
        <w:jc w:val="both"/>
        <w:rPr>
          <w:rFonts w:ascii="Verdana" w:hAnsi="Verdana"/>
          <w:bCs/>
          <w:i/>
          <w:sz w:val="18"/>
          <w:szCs w:val="18"/>
        </w:rPr>
      </w:pPr>
    </w:p>
    <w:p w14:paraId="4CA8D972" w14:textId="77777777" w:rsidR="00217814" w:rsidRPr="00217814" w:rsidRDefault="00217814" w:rsidP="00217814">
      <w:pPr>
        <w:pStyle w:val="Sangradetextonormal"/>
        <w:ind w:left="0"/>
        <w:contextualSpacing/>
        <w:jc w:val="both"/>
        <w:rPr>
          <w:rFonts w:ascii="Verdana" w:hAnsi="Verdana"/>
          <w:b/>
          <w:iCs/>
          <w:color w:val="800000"/>
          <w:sz w:val="18"/>
          <w:szCs w:val="18"/>
        </w:rPr>
      </w:pPr>
      <w:r w:rsidRPr="00217814">
        <w:rPr>
          <w:rFonts w:ascii="Verdana" w:hAnsi="Verdana"/>
          <w:b/>
          <w:iCs/>
          <w:color w:val="800000"/>
          <w:sz w:val="18"/>
          <w:szCs w:val="18"/>
        </w:rPr>
        <w:t>COMUNIDAD DE CASTILLA Y LEÓN</w:t>
      </w:r>
    </w:p>
    <w:p w14:paraId="04AACE86" w14:textId="77777777" w:rsidR="00217814" w:rsidRPr="00217814" w:rsidRDefault="00217814" w:rsidP="00217814">
      <w:pPr>
        <w:pStyle w:val="Sangradetextonormal"/>
        <w:ind w:left="0"/>
        <w:contextualSpacing/>
        <w:jc w:val="both"/>
        <w:rPr>
          <w:rFonts w:ascii="Verdana" w:hAnsi="Verdana"/>
          <w:b/>
          <w:iCs/>
          <w:color w:val="800000"/>
          <w:sz w:val="18"/>
          <w:szCs w:val="18"/>
        </w:rPr>
      </w:pPr>
      <w:r w:rsidRPr="00217814">
        <w:rPr>
          <w:rFonts w:ascii="Verdana" w:hAnsi="Verdana"/>
          <w:b/>
          <w:iCs/>
          <w:color w:val="800000"/>
          <w:sz w:val="18"/>
          <w:szCs w:val="18"/>
        </w:rPr>
        <w:t>Hacienda. Sector Público</w:t>
      </w:r>
    </w:p>
    <w:p w14:paraId="7CED05F7" w14:textId="27C19192" w:rsidR="00217814" w:rsidRPr="00217814" w:rsidRDefault="00217814" w:rsidP="00217814">
      <w:pPr>
        <w:pStyle w:val="Sangradetextonormal"/>
        <w:ind w:left="0"/>
        <w:contextualSpacing/>
        <w:jc w:val="both"/>
        <w:rPr>
          <w:rFonts w:ascii="Verdana" w:hAnsi="Verdana"/>
          <w:bCs/>
          <w:sz w:val="18"/>
          <w:szCs w:val="18"/>
        </w:rPr>
      </w:pPr>
      <w:r w:rsidRPr="00217814">
        <w:rPr>
          <w:rFonts w:ascii="Verdana" w:hAnsi="Verdana"/>
          <w:bCs/>
          <w:sz w:val="18"/>
          <w:szCs w:val="18"/>
        </w:rPr>
        <w:t>Ley 1/2020, de 24 de julio, por la que se modifica la Ley 2/2006, de 3 de mayo, de la Hacienda y del Sector Público de la Comunidad de Castilla y León, con el objetivo de flexibilizar el régimen presupuestario ante situaciones excepcionales de emergencia de salud pública.</w:t>
      </w:r>
    </w:p>
    <w:p w14:paraId="0D3E641F" w14:textId="7A2552DD" w:rsidR="004F5978" w:rsidRDefault="00217814" w:rsidP="009857BC">
      <w:pPr>
        <w:pStyle w:val="Sangradetextonormal"/>
        <w:ind w:left="0"/>
        <w:contextualSpacing/>
        <w:jc w:val="both"/>
        <w:rPr>
          <w:rFonts w:ascii="Verdana" w:hAnsi="Verdana"/>
          <w:bCs/>
          <w:i/>
          <w:sz w:val="18"/>
          <w:szCs w:val="18"/>
        </w:rPr>
      </w:pPr>
      <w:bookmarkStart w:id="3" w:name="_Hlk48589394"/>
      <w:r w:rsidRPr="00217814">
        <w:rPr>
          <w:rFonts w:ascii="Verdana" w:hAnsi="Verdana"/>
          <w:bCs/>
          <w:i/>
          <w:sz w:val="18"/>
          <w:szCs w:val="18"/>
        </w:rPr>
        <w:t>B.O.E. núm. 2</w:t>
      </w:r>
      <w:r w:rsidR="00005E9D">
        <w:rPr>
          <w:rFonts w:ascii="Verdana" w:hAnsi="Verdana"/>
          <w:bCs/>
          <w:i/>
          <w:sz w:val="18"/>
          <w:szCs w:val="18"/>
        </w:rPr>
        <w:t>20</w:t>
      </w:r>
      <w:r w:rsidRPr="00217814">
        <w:rPr>
          <w:rFonts w:ascii="Verdana" w:hAnsi="Verdana"/>
          <w:bCs/>
          <w:i/>
          <w:sz w:val="18"/>
          <w:szCs w:val="18"/>
        </w:rPr>
        <w:t xml:space="preserve"> de </w:t>
      </w:r>
      <w:r w:rsidR="00005E9D">
        <w:rPr>
          <w:rFonts w:ascii="Verdana" w:hAnsi="Verdana"/>
          <w:bCs/>
          <w:i/>
          <w:sz w:val="18"/>
          <w:szCs w:val="18"/>
        </w:rPr>
        <w:t>15</w:t>
      </w:r>
      <w:r>
        <w:rPr>
          <w:rFonts w:ascii="Verdana" w:hAnsi="Verdana"/>
          <w:bCs/>
          <w:i/>
          <w:sz w:val="18"/>
          <w:szCs w:val="18"/>
        </w:rPr>
        <w:t xml:space="preserve"> de agosto </w:t>
      </w:r>
      <w:r w:rsidRPr="00217814">
        <w:rPr>
          <w:rFonts w:ascii="Verdana" w:hAnsi="Verdana"/>
          <w:bCs/>
          <w:i/>
          <w:sz w:val="18"/>
          <w:szCs w:val="18"/>
        </w:rPr>
        <w:t>de 2020.</w:t>
      </w:r>
    </w:p>
    <w:bookmarkEnd w:id="3"/>
    <w:p w14:paraId="621EA915" w14:textId="4D498729" w:rsidR="001B76E9" w:rsidRDefault="001B76E9" w:rsidP="009857BC">
      <w:pPr>
        <w:pStyle w:val="Sangradetextonormal"/>
        <w:ind w:left="0"/>
        <w:contextualSpacing/>
        <w:jc w:val="both"/>
        <w:rPr>
          <w:rFonts w:ascii="Verdana" w:hAnsi="Verdana"/>
          <w:bCs/>
          <w:i/>
          <w:sz w:val="18"/>
          <w:szCs w:val="18"/>
        </w:rPr>
      </w:pPr>
    </w:p>
    <w:p w14:paraId="77551537" w14:textId="77777777" w:rsidR="001B76E9" w:rsidRPr="001B76E9" w:rsidRDefault="001B76E9" w:rsidP="001B76E9">
      <w:pPr>
        <w:pStyle w:val="Sangradetextonormal"/>
        <w:tabs>
          <w:tab w:val="left" w:pos="3775"/>
        </w:tabs>
        <w:ind w:left="0"/>
        <w:contextualSpacing/>
        <w:jc w:val="both"/>
        <w:rPr>
          <w:rFonts w:ascii="Verdana" w:hAnsi="Verdana"/>
          <w:b/>
          <w:iCs/>
          <w:color w:val="800000"/>
          <w:sz w:val="18"/>
          <w:szCs w:val="18"/>
        </w:rPr>
      </w:pPr>
      <w:r w:rsidRPr="001B76E9">
        <w:rPr>
          <w:rFonts w:ascii="Verdana" w:hAnsi="Verdana"/>
          <w:b/>
          <w:iCs/>
          <w:color w:val="800000"/>
          <w:sz w:val="18"/>
          <w:szCs w:val="18"/>
        </w:rPr>
        <w:t>COMUNIDAD AUTÓNOMA DE ARAGÓN</w:t>
      </w:r>
    </w:p>
    <w:p w14:paraId="161BCA6E" w14:textId="77777777" w:rsidR="001B76E9" w:rsidRPr="001B76E9" w:rsidRDefault="001B76E9" w:rsidP="001B76E9">
      <w:pPr>
        <w:pStyle w:val="Sangradetextonormal"/>
        <w:tabs>
          <w:tab w:val="left" w:pos="3775"/>
        </w:tabs>
        <w:ind w:left="0"/>
        <w:contextualSpacing/>
        <w:jc w:val="both"/>
        <w:rPr>
          <w:rFonts w:ascii="Verdana" w:hAnsi="Verdana"/>
          <w:b/>
          <w:iCs/>
          <w:color w:val="800000"/>
          <w:sz w:val="18"/>
          <w:szCs w:val="18"/>
        </w:rPr>
      </w:pPr>
      <w:r w:rsidRPr="001B76E9">
        <w:rPr>
          <w:rFonts w:ascii="Verdana" w:hAnsi="Verdana"/>
          <w:b/>
          <w:iCs/>
          <w:color w:val="800000"/>
          <w:sz w:val="18"/>
          <w:szCs w:val="18"/>
        </w:rPr>
        <w:t>Tributos</w:t>
      </w:r>
    </w:p>
    <w:p w14:paraId="4331A3B8" w14:textId="77777777" w:rsidR="001B76E9" w:rsidRPr="001B76E9" w:rsidRDefault="001B76E9" w:rsidP="001B76E9">
      <w:pPr>
        <w:pStyle w:val="Sangradetextonormal"/>
        <w:ind w:left="0"/>
        <w:contextualSpacing/>
        <w:jc w:val="both"/>
        <w:rPr>
          <w:rFonts w:ascii="Verdana" w:hAnsi="Verdana"/>
          <w:bCs/>
          <w:iCs/>
          <w:sz w:val="18"/>
          <w:szCs w:val="18"/>
        </w:rPr>
      </w:pPr>
      <w:r w:rsidRPr="001B76E9">
        <w:rPr>
          <w:rFonts w:ascii="Verdana" w:hAnsi="Verdana"/>
          <w:bCs/>
          <w:iCs/>
          <w:sz w:val="18"/>
          <w:szCs w:val="18"/>
        </w:rPr>
        <w:t>Ley 1/2020, de 9 de julio, por la que se establecen medidas excepcionales para el ejercicio 2020 en determinados tributos gestionados por la Comunidad Autónoma de Aragón.</w:t>
      </w:r>
    </w:p>
    <w:p w14:paraId="6262A7CD" w14:textId="77777777" w:rsidR="001B76E9" w:rsidRPr="001B76E9" w:rsidRDefault="001B76E9" w:rsidP="001B76E9">
      <w:pPr>
        <w:pStyle w:val="Sangradetextonormal"/>
        <w:ind w:left="0"/>
        <w:rPr>
          <w:rFonts w:ascii="Verdana" w:hAnsi="Verdana"/>
          <w:bCs/>
          <w:i/>
          <w:sz w:val="18"/>
          <w:szCs w:val="18"/>
        </w:rPr>
      </w:pPr>
      <w:bookmarkStart w:id="4" w:name="_Hlk48589024"/>
      <w:r w:rsidRPr="001B76E9">
        <w:rPr>
          <w:rFonts w:ascii="Verdana" w:hAnsi="Verdana"/>
          <w:bCs/>
          <w:i/>
          <w:sz w:val="18"/>
          <w:szCs w:val="18"/>
        </w:rPr>
        <w:t xml:space="preserve">B.O.E. núm. </w:t>
      </w:r>
      <w:r>
        <w:rPr>
          <w:rFonts w:ascii="Verdana" w:hAnsi="Verdana"/>
          <w:bCs/>
          <w:i/>
          <w:sz w:val="18"/>
          <w:szCs w:val="18"/>
        </w:rPr>
        <w:t>215</w:t>
      </w:r>
      <w:r w:rsidRPr="001B76E9">
        <w:rPr>
          <w:rFonts w:ascii="Verdana" w:hAnsi="Verdana"/>
          <w:bCs/>
          <w:i/>
          <w:sz w:val="18"/>
          <w:szCs w:val="18"/>
        </w:rPr>
        <w:t xml:space="preserve"> de 1</w:t>
      </w:r>
      <w:r>
        <w:rPr>
          <w:rFonts w:ascii="Verdana" w:hAnsi="Verdana"/>
          <w:bCs/>
          <w:i/>
          <w:sz w:val="18"/>
          <w:szCs w:val="18"/>
        </w:rPr>
        <w:t>0</w:t>
      </w:r>
      <w:r w:rsidRPr="001B76E9">
        <w:rPr>
          <w:rFonts w:ascii="Verdana" w:hAnsi="Verdana"/>
          <w:bCs/>
          <w:i/>
          <w:sz w:val="18"/>
          <w:szCs w:val="18"/>
        </w:rPr>
        <w:t xml:space="preserve"> de </w:t>
      </w:r>
      <w:r>
        <w:rPr>
          <w:rFonts w:ascii="Verdana" w:hAnsi="Verdana"/>
          <w:bCs/>
          <w:i/>
          <w:sz w:val="18"/>
          <w:szCs w:val="18"/>
        </w:rPr>
        <w:t>agosto</w:t>
      </w:r>
      <w:r w:rsidRPr="001B76E9">
        <w:rPr>
          <w:rFonts w:ascii="Verdana" w:hAnsi="Verdana"/>
          <w:bCs/>
          <w:i/>
          <w:sz w:val="18"/>
          <w:szCs w:val="18"/>
        </w:rPr>
        <w:t xml:space="preserve"> de 2020.</w:t>
      </w:r>
    </w:p>
    <w:bookmarkEnd w:id="4"/>
    <w:p w14:paraId="18D30564" w14:textId="77777777" w:rsidR="001B76E9" w:rsidRPr="00217814" w:rsidRDefault="001B76E9" w:rsidP="009857BC">
      <w:pPr>
        <w:pStyle w:val="Sangradetextonormal"/>
        <w:ind w:left="0"/>
        <w:contextualSpacing/>
        <w:jc w:val="both"/>
        <w:rPr>
          <w:rFonts w:ascii="Verdana" w:hAnsi="Verdana"/>
          <w:bCs/>
          <w:i/>
          <w:sz w:val="18"/>
          <w:szCs w:val="18"/>
        </w:rPr>
      </w:pPr>
    </w:p>
    <w:p w14:paraId="676597CB" w14:textId="77777777" w:rsidR="00DE7E64" w:rsidRPr="00DE7E64" w:rsidRDefault="00DE7E64" w:rsidP="00DE7E64">
      <w:pPr>
        <w:pStyle w:val="Sangradetextonormal"/>
        <w:ind w:left="0"/>
        <w:contextualSpacing/>
        <w:jc w:val="both"/>
        <w:rPr>
          <w:rFonts w:ascii="Verdana" w:hAnsi="Verdana"/>
          <w:b/>
          <w:iCs/>
          <w:color w:val="800000"/>
          <w:sz w:val="18"/>
          <w:szCs w:val="18"/>
        </w:rPr>
      </w:pPr>
      <w:r w:rsidRPr="00DE7E64">
        <w:rPr>
          <w:rFonts w:ascii="Verdana" w:hAnsi="Verdana"/>
          <w:b/>
          <w:iCs/>
          <w:color w:val="800000"/>
          <w:sz w:val="18"/>
          <w:szCs w:val="18"/>
        </w:rPr>
        <w:t>COMUNIDAD AUTÓNOMA DE LA REGIÓN DE MURCIA</w:t>
      </w:r>
    </w:p>
    <w:p w14:paraId="3F7D4334" w14:textId="77777777" w:rsidR="00DE7E64" w:rsidRPr="00DE7E64" w:rsidRDefault="00DE7E64" w:rsidP="00DE7E64">
      <w:pPr>
        <w:pStyle w:val="Sangradetextonormal"/>
        <w:ind w:left="0"/>
        <w:contextualSpacing/>
        <w:jc w:val="both"/>
        <w:rPr>
          <w:rFonts w:ascii="Verdana" w:hAnsi="Verdana"/>
          <w:b/>
          <w:iCs/>
          <w:color w:val="800000"/>
          <w:sz w:val="18"/>
          <w:szCs w:val="18"/>
        </w:rPr>
      </w:pPr>
      <w:r w:rsidRPr="00DE7E64">
        <w:rPr>
          <w:rFonts w:ascii="Verdana" w:hAnsi="Verdana"/>
          <w:b/>
          <w:iCs/>
          <w:color w:val="800000"/>
          <w:sz w:val="18"/>
          <w:szCs w:val="18"/>
        </w:rPr>
        <w:t>Presupuestos</w:t>
      </w:r>
    </w:p>
    <w:p w14:paraId="2D93B342" w14:textId="311D6DBB" w:rsidR="004F5978" w:rsidRDefault="00DE7E64" w:rsidP="00DE7E64">
      <w:pPr>
        <w:pStyle w:val="Sangradetextonormal"/>
        <w:ind w:left="0"/>
        <w:contextualSpacing/>
        <w:jc w:val="both"/>
        <w:rPr>
          <w:rFonts w:ascii="Verdana" w:hAnsi="Verdana"/>
          <w:bCs/>
          <w:iCs/>
          <w:sz w:val="18"/>
          <w:szCs w:val="18"/>
        </w:rPr>
      </w:pPr>
      <w:r w:rsidRPr="00DE7E64">
        <w:rPr>
          <w:rFonts w:ascii="Verdana" w:hAnsi="Verdana"/>
          <w:bCs/>
          <w:iCs/>
          <w:sz w:val="18"/>
          <w:szCs w:val="18"/>
        </w:rPr>
        <w:t>Ley 1/2020, de 23 de abril, de Presupuestos Generales de la Comunidad Autónoma de la Región de Murcia para el ejercicio 2020.</w:t>
      </w:r>
    </w:p>
    <w:p w14:paraId="678A8D45" w14:textId="5FC5F3EB" w:rsidR="00DE7E64" w:rsidRDefault="0071512F" w:rsidP="0071512F">
      <w:pPr>
        <w:pStyle w:val="Sangradetextonormal"/>
        <w:ind w:left="0"/>
        <w:rPr>
          <w:rFonts w:ascii="Verdana" w:hAnsi="Verdana"/>
          <w:bCs/>
          <w:i/>
          <w:sz w:val="18"/>
          <w:szCs w:val="18"/>
        </w:rPr>
      </w:pPr>
      <w:r w:rsidRPr="0071512F">
        <w:rPr>
          <w:rFonts w:ascii="Verdana" w:hAnsi="Verdana"/>
          <w:bCs/>
          <w:i/>
          <w:sz w:val="18"/>
          <w:szCs w:val="18"/>
        </w:rPr>
        <w:t>B.O.E. núm. 216 de 11 de agosto de 2020.</w:t>
      </w:r>
    </w:p>
    <w:p w14:paraId="482B6DDD" w14:textId="5E42273B" w:rsidR="00F368F5" w:rsidRPr="00F943D9" w:rsidRDefault="00F368F5" w:rsidP="00F943D9">
      <w:pPr>
        <w:pStyle w:val="Sangradetextonormal"/>
        <w:ind w:left="0"/>
        <w:jc w:val="both"/>
        <w:rPr>
          <w:rFonts w:ascii="Verdana" w:hAnsi="Verdana"/>
          <w:bCs/>
          <w:iCs/>
          <w:sz w:val="18"/>
          <w:szCs w:val="18"/>
        </w:rPr>
      </w:pPr>
      <w:r w:rsidRPr="00F943D9">
        <w:rPr>
          <w:rFonts w:ascii="Verdana" w:hAnsi="Verdana"/>
          <w:bCs/>
          <w:iCs/>
          <w:sz w:val="18"/>
          <w:szCs w:val="18"/>
        </w:rPr>
        <w:t>Ley 4/2020, de 3 de agosto, de modificación de la Ley 1/2020, de 23 de abril, de Presupuestos Generales de la Comunidad Autónoma de la Región de Murcia para el ejercicio 2020.</w:t>
      </w:r>
    </w:p>
    <w:p w14:paraId="1B6988CE" w14:textId="51D0F9E9" w:rsidR="00217814" w:rsidRPr="00F943D9" w:rsidRDefault="00F943D9" w:rsidP="009857BC">
      <w:pPr>
        <w:pStyle w:val="Sangradetextonormal"/>
        <w:ind w:left="0"/>
        <w:contextualSpacing/>
        <w:jc w:val="both"/>
        <w:rPr>
          <w:rFonts w:ascii="Verdana" w:hAnsi="Verdana"/>
          <w:bCs/>
          <w:iCs/>
          <w:sz w:val="18"/>
          <w:szCs w:val="18"/>
        </w:rPr>
      </w:pPr>
      <w:r w:rsidRPr="00F943D9">
        <w:rPr>
          <w:rFonts w:ascii="Verdana" w:hAnsi="Verdana"/>
          <w:bCs/>
          <w:iCs/>
          <w:sz w:val="18"/>
          <w:szCs w:val="18"/>
        </w:rPr>
        <w:t>Corrección de errores de la Ley 1/2020, de 23 de abril, de Presupuestos Generales de la Comunidad Autónoma de la Región de Murcia para el año 2020.</w:t>
      </w:r>
    </w:p>
    <w:p w14:paraId="78FF4BFF" w14:textId="1E95AF70" w:rsidR="00F943D9" w:rsidRPr="00F943D9" w:rsidRDefault="00F943D9" w:rsidP="00F943D9">
      <w:pPr>
        <w:pStyle w:val="Sangradetextonormal"/>
        <w:ind w:left="0"/>
        <w:contextualSpacing/>
        <w:rPr>
          <w:rFonts w:ascii="Verdana" w:hAnsi="Verdana"/>
          <w:bCs/>
          <w:i/>
          <w:sz w:val="18"/>
          <w:szCs w:val="18"/>
        </w:rPr>
      </w:pPr>
      <w:r w:rsidRPr="00F943D9">
        <w:rPr>
          <w:rFonts w:ascii="Verdana" w:hAnsi="Verdana"/>
          <w:bCs/>
          <w:i/>
          <w:sz w:val="18"/>
          <w:szCs w:val="18"/>
        </w:rPr>
        <w:t xml:space="preserve">B.O.E. núm. </w:t>
      </w:r>
      <w:r>
        <w:rPr>
          <w:rFonts w:ascii="Verdana" w:hAnsi="Verdana"/>
          <w:bCs/>
          <w:i/>
          <w:sz w:val="18"/>
          <w:szCs w:val="18"/>
        </w:rPr>
        <w:t>221</w:t>
      </w:r>
      <w:r w:rsidRPr="00F943D9">
        <w:rPr>
          <w:rFonts w:ascii="Verdana" w:hAnsi="Verdana"/>
          <w:bCs/>
          <w:i/>
          <w:sz w:val="18"/>
          <w:szCs w:val="18"/>
        </w:rPr>
        <w:t xml:space="preserve"> de 1</w:t>
      </w:r>
      <w:r>
        <w:rPr>
          <w:rFonts w:ascii="Verdana" w:hAnsi="Verdana"/>
          <w:bCs/>
          <w:i/>
          <w:sz w:val="18"/>
          <w:szCs w:val="18"/>
        </w:rPr>
        <w:t>7</w:t>
      </w:r>
      <w:r w:rsidRPr="00F943D9">
        <w:rPr>
          <w:rFonts w:ascii="Verdana" w:hAnsi="Verdana"/>
          <w:bCs/>
          <w:i/>
          <w:sz w:val="18"/>
          <w:szCs w:val="18"/>
        </w:rPr>
        <w:t xml:space="preserve"> de </w:t>
      </w:r>
      <w:r>
        <w:rPr>
          <w:rFonts w:ascii="Verdana" w:hAnsi="Verdana"/>
          <w:bCs/>
          <w:i/>
          <w:sz w:val="18"/>
          <w:szCs w:val="18"/>
        </w:rPr>
        <w:t>agosto</w:t>
      </w:r>
      <w:r w:rsidRPr="00F943D9">
        <w:rPr>
          <w:rFonts w:ascii="Verdana" w:hAnsi="Verdana"/>
          <w:bCs/>
          <w:i/>
          <w:sz w:val="18"/>
          <w:szCs w:val="18"/>
        </w:rPr>
        <w:t xml:space="preserve"> de 2020.</w:t>
      </w:r>
    </w:p>
    <w:p w14:paraId="04C24045" w14:textId="77777777" w:rsidR="00F943D9" w:rsidRDefault="00F943D9" w:rsidP="009857BC">
      <w:pPr>
        <w:pStyle w:val="Sangradetextonormal"/>
        <w:ind w:left="0"/>
        <w:contextualSpacing/>
        <w:jc w:val="both"/>
        <w:rPr>
          <w:rFonts w:ascii="Verdana" w:hAnsi="Verdana"/>
          <w:b/>
          <w:iCs/>
          <w:color w:val="800000"/>
          <w:sz w:val="18"/>
          <w:szCs w:val="18"/>
        </w:rPr>
      </w:pPr>
    </w:p>
    <w:p w14:paraId="7BCFBC2F" w14:textId="77777777" w:rsidR="00F943D9" w:rsidRDefault="00F943D9" w:rsidP="009857BC">
      <w:pPr>
        <w:pStyle w:val="Sangradetextonormal"/>
        <w:ind w:left="0"/>
        <w:contextualSpacing/>
        <w:jc w:val="both"/>
        <w:rPr>
          <w:rFonts w:ascii="Verdana" w:hAnsi="Verdana"/>
          <w:b/>
          <w:iCs/>
          <w:color w:val="800000"/>
          <w:sz w:val="18"/>
          <w:szCs w:val="18"/>
        </w:rPr>
      </w:pPr>
    </w:p>
    <w:p w14:paraId="696B64E9" w14:textId="6515375C" w:rsidR="00BE784E" w:rsidRPr="00BE784E" w:rsidRDefault="00BE784E" w:rsidP="00CF20A2">
      <w:pPr>
        <w:pStyle w:val="Sangradetextonormal"/>
        <w:ind w:left="0"/>
        <w:contextualSpacing/>
        <w:jc w:val="both"/>
        <w:rPr>
          <w:rFonts w:ascii="Verdana" w:hAnsi="Verdana"/>
          <w:b/>
          <w:iCs/>
          <w:color w:val="800000"/>
          <w:sz w:val="18"/>
          <w:szCs w:val="18"/>
        </w:rPr>
      </w:pPr>
      <w:r w:rsidRPr="00BE784E">
        <w:rPr>
          <w:rFonts w:ascii="Verdana" w:hAnsi="Verdana"/>
          <w:b/>
          <w:iCs/>
          <w:color w:val="800000"/>
          <w:sz w:val="18"/>
          <w:szCs w:val="18"/>
        </w:rPr>
        <w:t>COMUNIDAD FORAL DE NAVARRA</w:t>
      </w:r>
    </w:p>
    <w:p w14:paraId="71960C50" w14:textId="6EFE4330" w:rsidR="00BE784E" w:rsidRPr="00BE784E" w:rsidRDefault="00BE784E" w:rsidP="00BE784E">
      <w:pPr>
        <w:pStyle w:val="Sangradetextonormal"/>
        <w:tabs>
          <w:tab w:val="left" w:pos="3775"/>
        </w:tabs>
        <w:ind w:left="0"/>
        <w:contextualSpacing/>
        <w:jc w:val="both"/>
        <w:rPr>
          <w:rFonts w:ascii="Verdana" w:hAnsi="Verdana"/>
          <w:b/>
          <w:iCs/>
          <w:color w:val="800000"/>
          <w:sz w:val="18"/>
          <w:szCs w:val="18"/>
        </w:rPr>
      </w:pPr>
      <w:r w:rsidRPr="00BE784E">
        <w:rPr>
          <w:rFonts w:ascii="Verdana" w:hAnsi="Verdana"/>
          <w:b/>
          <w:iCs/>
          <w:color w:val="800000"/>
          <w:sz w:val="18"/>
          <w:szCs w:val="18"/>
        </w:rPr>
        <w:t>Crisis sanitaria</w:t>
      </w:r>
      <w:r>
        <w:rPr>
          <w:rFonts w:ascii="Verdana" w:hAnsi="Verdana"/>
          <w:b/>
          <w:iCs/>
          <w:color w:val="800000"/>
          <w:sz w:val="18"/>
          <w:szCs w:val="18"/>
        </w:rPr>
        <w:tab/>
      </w:r>
    </w:p>
    <w:p w14:paraId="24634A0E" w14:textId="77777777" w:rsidR="00BE784E" w:rsidRPr="00BE784E" w:rsidRDefault="00BE784E" w:rsidP="00BE784E">
      <w:pPr>
        <w:pStyle w:val="Sangradetextonormal"/>
        <w:ind w:left="0"/>
        <w:contextualSpacing/>
        <w:jc w:val="both"/>
        <w:rPr>
          <w:rFonts w:ascii="Verdana" w:hAnsi="Verdana"/>
          <w:bCs/>
          <w:sz w:val="18"/>
          <w:szCs w:val="18"/>
        </w:rPr>
      </w:pPr>
      <w:r w:rsidRPr="00BE784E">
        <w:rPr>
          <w:rFonts w:ascii="Verdana" w:hAnsi="Verdana"/>
          <w:bCs/>
          <w:sz w:val="18"/>
          <w:szCs w:val="18"/>
        </w:rPr>
        <w:t>Decreto-ley Foral 4/2020, de 29 de abril, por el que se aprueban medidas urgentes para responder al impacto generado por la crisis sanitaria del coronavirus (COVID-19).</w:t>
      </w:r>
    </w:p>
    <w:p w14:paraId="101CD1A2" w14:textId="77777777" w:rsidR="00BE784E" w:rsidRPr="00BE784E" w:rsidRDefault="00BE784E" w:rsidP="00BE784E">
      <w:pPr>
        <w:pStyle w:val="Sangradetextonormal"/>
        <w:contextualSpacing/>
        <w:jc w:val="both"/>
        <w:rPr>
          <w:rFonts w:ascii="Verdana" w:hAnsi="Verdana"/>
          <w:bCs/>
          <w:sz w:val="18"/>
          <w:szCs w:val="18"/>
        </w:rPr>
      </w:pPr>
    </w:p>
    <w:p w14:paraId="4F6380C4" w14:textId="77777777" w:rsidR="00BE784E" w:rsidRPr="00BE784E" w:rsidRDefault="00BE784E" w:rsidP="00BE784E">
      <w:pPr>
        <w:pStyle w:val="Sangradetextonormal"/>
        <w:ind w:left="0"/>
        <w:contextualSpacing/>
        <w:jc w:val="both"/>
        <w:rPr>
          <w:rFonts w:ascii="Verdana" w:hAnsi="Verdana"/>
          <w:bCs/>
          <w:sz w:val="18"/>
          <w:szCs w:val="18"/>
        </w:rPr>
      </w:pPr>
      <w:r w:rsidRPr="00BE784E">
        <w:rPr>
          <w:rFonts w:ascii="Verdana" w:hAnsi="Verdana"/>
          <w:bCs/>
          <w:sz w:val="18"/>
          <w:szCs w:val="18"/>
        </w:rPr>
        <w:t>Decreto-ley Foral 5/2020, de 20 de mayo, por el que se aprueban medidas urgentes para responder al impacto generado por la crisis sanitaria del coronavirus (COVID-19).</w:t>
      </w:r>
    </w:p>
    <w:p w14:paraId="41BC04E9" w14:textId="223A4CAE" w:rsidR="00BE784E" w:rsidRDefault="00BE784E" w:rsidP="00BE784E">
      <w:pPr>
        <w:pStyle w:val="Sangradetextonormal"/>
        <w:ind w:left="0"/>
        <w:contextualSpacing/>
        <w:rPr>
          <w:rFonts w:ascii="Verdana" w:hAnsi="Verdana"/>
          <w:bCs/>
          <w:i/>
          <w:sz w:val="18"/>
          <w:szCs w:val="18"/>
        </w:rPr>
      </w:pPr>
      <w:bookmarkStart w:id="5" w:name="_Hlk48588706"/>
      <w:bookmarkStart w:id="6" w:name="_Hlk46740199"/>
      <w:r w:rsidRPr="00BE784E">
        <w:rPr>
          <w:rFonts w:ascii="Verdana" w:hAnsi="Verdana"/>
          <w:bCs/>
          <w:i/>
          <w:sz w:val="18"/>
          <w:szCs w:val="18"/>
        </w:rPr>
        <w:t xml:space="preserve">B.O.E. </w:t>
      </w:r>
      <w:r>
        <w:rPr>
          <w:rFonts w:ascii="Verdana" w:hAnsi="Verdana"/>
          <w:bCs/>
          <w:i/>
          <w:sz w:val="18"/>
          <w:szCs w:val="18"/>
        </w:rPr>
        <w:t>núm. 181 de 1 de julio de 2020.</w:t>
      </w:r>
    </w:p>
    <w:bookmarkEnd w:id="5"/>
    <w:p w14:paraId="319C7D10" w14:textId="57DDD245" w:rsidR="001B76E9" w:rsidRDefault="001B76E9" w:rsidP="00BE784E">
      <w:pPr>
        <w:pStyle w:val="Sangradetextonormal"/>
        <w:ind w:left="0"/>
        <w:contextualSpacing/>
        <w:rPr>
          <w:rFonts w:ascii="Verdana" w:hAnsi="Verdana"/>
          <w:bCs/>
          <w:i/>
          <w:sz w:val="18"/>
          <w:szCs w:val="18"/>
        </w:rPr>
      </w:pPr>
    </w:p>
    <w:p w14:paraId="73D89102" w14:textId="77777777" w:rsidR="001B76E9" w:rsidRDefault="001B76E9" w:rsidP="00BE784E">
      <w:pPr>
        <w:pStyle w:val="Sangradetextonormal"/>
        <w:ind w:left="0"/>
        <w:contextualSpacing/>
        <w:rPr>
          <w:rFonts w:ascii="Verdana" w:hAnsi="Verdana"/>
          <w:bCs/>
          <w:i/>
          <w:sz w:val="18"/>
          <w:szCs w:val="18"/>
        </w:rPr>
      </w:pPr>
    </w:p>
    <w:bookmarkEnd w:id="6"/>
    <w:p w14:paraId="58B496EA" w14:textId="77777777" w:rsidR="00BE784E" w:rsidRDefault="00BE784E" w:rsidP="00BE784E">
      <w:pPr>
        <w:pStyle w:val="Sangradetextonormal"/>
        <w:ind w:left="0"/>
        <w:contextualSpacing/>
        <w:rPr>
          <w:rFonts w:ascii="Verdana" w:hAnsi="Verdana"/>
          <w:bCs/>
          <w:i/>
          <w:sz w:val="18"/>
          <w:szCs w:val="18"/>
        </w:rPr>
      </w:pPr>
    </w:p>
    <w:p w14:paraId="7EC7313C" w14:textId="77777777" w:rsidR="00BE784E" w:rsidRPr="00BE784E" w:rsidRDefault="00BE784E" w:rsidP="00BE784E">
      <w:pPr>
        <w:pStyle w:val="Sangradetextonormal"/>
        <w:ind w:left="0"/>
        <w:contextualSpacing/>
        <w:rPr>
          <w:rFonts w:ascii="Verdana" w:hAnsi="Verdana"/>
          <w:bCs/>
          <w:i/>
          <w:sz w:val="18"/>
          <w:szCs w:val="18"/>
        </w:rPr>
      </w:pPr>
    </w:p>
    <w:p w14:paraId="4A819101" w14:textId="5396CDF6" w:rsidR="002B55F1" w:rsidRPr="003F6E49" w:rsidRDefault="00025324" w:rsidP="00BE784E">
      <w:pPr>
        <w:pStyle w:val="Sangradetextonormal"/>
        <w:ind w:left="0"/>
        <w:contextualSpacing/>
        <w:rPr>
          <w:rFonts w:ascii="Verdana" w:hAnsi="Verdana"/>
          <w:b/>
          <w:color w:val="800000"/>
          <w:sz w:val="22"/>
          <w:szCs w:val="22"/>
        </w:rPr>
      </w:pPr>
      <w:r w:rsidRPr="000261BE">
        <w:rPr>
          <w:rFonts w:ascii="Verdana" w:hAnsi="Verdana"/>
          <w:bCs/>
          <w:sz w:val="18"/>
          <w:szCs w:val="18"/>
        </w:rPr>
        <w:br w:type="page"/>
      </w:r>
      <w:r w:rsidR="002B55F1" w:rsidRPr="003F6E49">
        <w:rPr>
          <w:rFonts w:ascii="Verdana" w:hAnsi="Verdana"/>
          <w:b/>
          <w:color w:val="800000"/>
          <w:sz w:val="22"/>
          <w:szCs w:val="22"/>
        </w:rPr>
        <w:lastRenderedPageBreak/>
        <w:t xml:space="preserve">CALENDARIO FISCAL PARA EL MES DE SEPTIEMBRE DE </w:t>
      </w:r>
      <w:r w:rsidR="00DF1F7F">
        <w:rPr>
          <w:rFonts w:ascii="Verdana" w:hAnsi="Verdana"/>
          <w:b/>
          <w:color w:val="800000"/>
          <w:sz w:val="22"/>
          <w:szCs w:val="22"/>
        </w:rPr>
        <w:t>20</w:t>
      </w:r>
      <w:r w:rsidR="00BF2C0B">
        <w:rPr>
          <w:rFonts w:ascii="Verdana" w:hAnsi="Verdana"/>
          <w:b/>
          <w:color w:val="800000"/>
          <w:sz w:val="22"/>
          <w:szCs w:val="22"/>
        </w:rPr>
        <w:t>20</w:t>
      </w:r>
    </w:p>
    <w:p w14:paraId="67A4A52F" w14:textId="77777777" w:rsidR="00823B20" w:rsidRPr="00DF4C91" w:rsidRDefault="00823B20">
      <w:pPr>
        <w:pStyle w:val="Textoindependiente3"/>
        <w:rPr>
          <w:rFonts w:ascii="Verdana" w:hAnsi="Verdana"/>
          <w:b/>
          <w:i w:val="0"/>
          <w:color w:val="800000"/>
          <w:szCs w:val="22"/>
        </w:rPr>
      </w:pPr>
    </w:p>
    <w:p w14:paraId="3261E367" w14:textId="77777777" w:rsidR="00823B20" w:rsidRPr="00D66413" w:rsidRDefault="00823B20" w:rsidP="00823B20">
      <w:pPr>
        <w:jc w:val="both"/>
        <w:rPr>
          <w:rFonts w:ascii="Verdana" w:hAnsi="Verdana"/>
          <w:b/>
          <w:bCs/>
          <w:color w:val="800000"/>
          <w:sz w:val="18"/>
          <w:szCs w:val="18"/>
        </w:rPr>
      </w:pPr>
      <w:r w:rsidRPr="00D66413">
        <w:rPr>
          <w:rFonts w:ascii="Verdana" w:hAnsi="Verdana"/>
          <w:b/>
          <w:bCs/>
          <w:color w:val="800000"/>
          <w:sz w:val="18"/>
          <w:szCs w:val="18"/>
        </w:rPr>
        <w:t>MODELO 511. IMPUESTOS ESPECIALES DE FABRICACIÓN</w:t>
      </w:r>
    </w:p>
    <w:p w14:paraId="705DAC66" w14:textId="77777777" w:rsidR="00823B20" w:rsidRPr="00D66413" w:rsidRDefault="00823B20" w:rsidP="00823B20">
      <w:pPr>
        <w:pStyle w:val="Textoindependiente3"/>
        <w:rPr>
          <w:rFonts w:ascii="Verdana" w:hAnsi="Verdana"/>
          <w:bCs/>
          <w:i w:val="0"/>
          <w:iCs w:val="0"/>
          <w:sz w:val="18"/>
          <w:szCs w:val="18"/>
        </w:rPr>
      </w:pPr>
      <w:r w:rsidRPr="00D66413">
        <w:rPr>
          <w:rFonts w:ascii="Verdana" w:hAnsi="Verdana"/>
          <w:i w:val="0"/>
          <w:sz w:val="18"/>
          <w:szCs w:val="18"/>
        </w:rPr>
        <w:t>Relación mensual de notas de entrega de productos con el impuesto devengado a tipo reducido, expedidos por el procedimiento de ventas en ruta: 5 días hábiles siguientes a la finalización del mes al que corresponde la información.</w:t>
      </w:r>
    </w:p>
    <w:p w14:paraId="54ABB7EB" w14:textId="77777777" w:rsidR="002B55F1" w:rsidRPr="00D66413" w:rsidRDefault="002B55F1">
      <w:pPr>
        <w:jc w:val="both"/>
        <w:rPr>
          <w:rFonts w:ascii="Verdana" w:hAnsi="Verdana"/>
          <w:sz w:val="18"/>
          <w:szCs w:val="18"/>
        </w:rPr>
      </w:pPr>
    </w:p>
    <w:p w14:paraId="5ABB9DBE" w14:textId="49F6B16E" w:rsidR="002B55F1" w:rsidRPr="00D66413" w:rsidRDefault="002B55F1">
      <w:pPr>
        <w:rPr>
          <w:rFonts w:ascii="Verdana" w:hAnsi="Verdana"/>
          <w:b/>
          <w:bCs/>
          <w:color w:val="800000"/>
          <w:sz w:val="18"/>
          <w:szCs w:val="18"/>
        </w:rPr>
      </w:pPr>
      <w:r w:rsidRPr="00D66413">
        <w:rPr>
          <w:rFonts w:ascii="Verdana" w:hAnsi="Verdana"/>
          <w:b/>
          <w:bCs/>
          <w:color w:val="800000"/>
          <w:sz w:val="18"/>
          <w:szCs w:val="18"/>
        </w:rPr>
        <w:t xml:space="preserve">HASTA EL DÍA </w:t>
      </w:r>
      <w:r w:rsidR="003703C6">
        <w:rPr>
          <w:rFonts w:ascii="Verdana" w:hAnsi="Verdana"/>
          <w:b/>
          <w:bCs/>
          <w:color w:val="800000"/>
          <w:sz w:val="18"/>
          <w:szCs w:val="18"/>
        </w:rPr>
        <w:t>1</w:t>
      </w:r>
      <w:r w:rsidR="00BF2C0B">
        <w:rPr>
          <w:rFonts w:ascii="Verdana" w:hAnsi="Verdana"/>
          <w:b/>
          <w:bCs/>
          <w:color w:val="800000"/>
          <w:sz w:val="18"/>
          <w:szCs w:val="18"/>
        </w:rPr>
        <w:t>4</w:t>
      </w:r>
    </w:p>
    <w:p w14:paraId="6A9F6706" w14:textId="77777777" w:rsidR="002B55F1" w:rsidRPr="00D66413" w:rsidRDefault="002B55F1">
      <w:pPr>
        <w:numPr>
          <w:ilvl w:val="12"/>
          <w:numId w:val="0"/>
        </w:numPr>
        <w:jc w:val="both"/>
        <w:rPr>
          <w:rFonts w:ascii="Verdana" w:hAnsi="Verdana"/>
          <w:b/>
          <w:sz w:val="18"/>
          <w:szCs w:val="18"/>
          <w:lang w:val="es-ES_tradnl"/>
        </w:rPr>
      </w:pPr>
    </w:p>
    <w:p w14:paraId="00404BB1" w14:textId="77777777" w:rsidR="002B55F1" w:rsidRPr="00D66413" w:rsidRDefault="002B55F1">
      <w:pPr>
        <w:jc w:val="both"/>
        <w:rPr>
          <w:rFonts w:ascii="Verdana" w:hAnsi="Verdana"/>
          <w:color w:val="800000"/>
          <w:sz w:val="18"/>
          <w:szCs w:val="18"/>
          <w:lang w:val="es-ES_tradnl"/>
        </w:rPr>
      </w:pPr>
      <w:r w:rsidRPr="00D66413">
        <w:rPr>
          <w:rFonts w:ascii="Verdana" w:hAnsi="Verdana"/>
          <w:b/>
          <w:bCs/>
          <w:color w:val="800000"/>
          <w:sz w:val="18"/>
          <w:szCs w:val="18"/>
          <w:lang w:val="es-ES_tradnl"/>
        </w:rPr>
        <w:t>Estadística Comercio Intracomunitario (Intrastat)</w:t>
      </w:r>
    </w:p>
    <w:p w14:paraId="3DA4781A" w14:textId="4DB65391" w:rsidR="002B55F1" w:rsidRPr="00D66413" w:rsidRDefault="002B55F1">
      <w:pPr>
        <w:numPr>
          <w:ilvl w:val="0"/>
          <w:numId w:val="1"/>
        </w:numPr>
        <w:jc w:val="both"/>
        <w:rPr>
          <w:rFonts w:ascii="Verdana" w:hAnsi="Verdana"/>
          <w:sz w:val="18"/>
          <w:szCs w:val="18"/>
          <w:lang w:val="es-ES_tradnl"/>
        </w:rPr>
      </w:pPr>
      <w:r w:rsidRPr="00D66413">
        <w:rPr>
          <w:rFonts w:ascii="Verdana" w:hAnsi="Verdana"/>
          <w:sz w:val="18"/>
          <w:szCs w:val="18"/>
          <w:lang w:val="es-ES_tradnl"/>
        </w:rPr>
        <w:t xml:space="preserve">Agosto </w:t>
      </w:r>
      <w:r w:rsidR="00753E93">
        <w:rPr>
          <w:rFonts w:ascii="Verdana" w:hAnsi="Verdana"/>
          <w:sz w:val="18"/>
          <w:szCs w:val="18"/>
          <w:lang w:val="es-ES_tradnl"/>
        </w:rPr>
        <w:t>2020</w:t>
      </w:r>
      <w:r w:rsidRPr="00D66413">
        <w:rPr>
          <w:rFonts w:ascii="Verdana" w:hAnsi="Verdana"/>
          <w:sz w:val="18"/>
          <w:szCs w:val="18"/>
          <w:lang w:val="es-ES_tradnl"/>
        </w:rPr>
        <w:t>. Modelos N-I, N-E, O-I, O-E.</w:t>
      </w:r>
    </w:p>
    <w:p w14:paraId="69A05D21" w14:textId="77777777" w:rsidR="002B55F1" w:rsidRPr="00D66413" w:rsidRDefault="002B55F1">
      <w:pPr>
        <w:numPr>
          <w:ilvl w:val="12"/>
          <w:numId w:val="0"/>
        </w:numPr>
        <w:jc w:val="both"/>
        <w:rPr>
          <w:rFonts w:ascii="Verdana" w:hAnsi="Verdana"/>
          <w:sz w:val="18"/>
          <w:szCs w:val="18"/>
          <w:lang w:val="es-ES_tradnl"/>
        </w:rPr>
      </w:pPr>
    </w:p>
    <w:p w14:paraId="4821A17D" w14:textId="1616E861" w:rsidR="002B55F1" w:rsidRPr="00D66413" w:rsidRDefault="002B55F1">
      <w:pPr>
        <w:spacing w:line="240" w:lineRule="atLeast"/>
        <w:rPr>
          <w:rFonts w:ascii="Verdana" w:hAnsi="Verdana"/>
          <w:b/>
          <w:bCs/>
          <w:color w:val="800000"/>
          <w:sz w:val="18"/>
          <w:szCs w:val="18"/>
        </w:rPr>
      </w:pPr>
      <w:r w:rsidRPr="00D66413">
        <w:rPr>
          <w:rFonts w:ascii="Verdana" w:hAnsi="Verdana"/>
          <w:b/>
          <w:bCs/>
          <w:color w:val="800000"/>
          <w:sz w:val="18"/>
          <w:szCs w:val="18"/>
        </w:rPr>
        <w:t>HASTA EL DÍA 2</w:t>
      </w:r>
      <w:r w:rsidR="00753E93">
        <w:rPr>
          <w:rFonts w:ascii="Verdana" w:hAnsi="Verdana"/>
          <w:b/>
          <w:bCs/>
          <w:color w:val="800000"/>
          <w:sz w:val="18"/>
          <w:szCs w:val="18"/>
        </w:rPr>
        <w:t>1</w:t>
      </w:r>
      <w:r w:rsidRPr="00D66413">
        <w:rPr>
          <w:rFonts w:ascii="Verdana" w:hAnsi="Verdana" w:cs="|______Frutiger-Bold"/>
          <w:b/>
          <w:bCs/>
          <w:color w:val="FFFFFF"/>
          <w:sz w:val="18"/>
          <w:szCs w:val="18"/>
        </w:rPr>
        <w:t xml:space="preserve"> S D</w:t>
      </w:r>
    </w:p>
    <w:p w14:paraId="4D3D24D5" w14:textId="77777777" w:rsidR="002B55F1" w:rsidRPr="00D66413" w:rsidRDefault="002B55F1">
      <w:pPr>
        <w:spacing w:line="240" w:lineRule="atLeast"/>
        <w:jc w:val="both"/>
        <w:rPr>
          <w:rFonts w:ascii="Verdana" w:hAnsi="Verdana"/>
          <w:b/>
          <w:bCs/>
          <w:color w:val="800000"/>
          <w:sz w:val="18"/>
          <w:szCs w:val="18"/>
        </w:rPr>
      </w:pPr>
    </w:p>
    <w:p w14:paraId="3DBAD2D9" w14:textId="77777777" w:rsidR="002B55F1" w:rsidRPr="00D66413" w:rsidRDefault="002B55F1">
      <w:pPr>
        <w:spacing w:line="240" w:lineRule="atLeast"/>
        <w:jc w:val="both"/>
        <w:rPr>
          <w:rFonts w:ascii="Verdana" w:hAnsi="Verdana"/>
          <w:b/>
          <w:bCs/>
          <w:color w:val="800000"/>
          <w:sz w:val="18"/>
          <w:szCs w:val="18"/>
          <w:lang w:val="es-ES_tradnl"/>
        </w:rPr>
      </w:pPr>
      <w:r w:rsidRPr="00D66413">
        <w:rPr>
          <w:rFonts w:ascii="Verdana" w:hAnsi="Verdana"/>
          <w:b/>
          <w:bCs/>
          <w:color w:val="800000"/>
          <w:sz w:val="18"/>
          <w:szCs w:val="18"/>
          <w:lang w:val="es-ES_tradnl"/>
        </w:rPr>
        <w:t>Renta y Sociedades</w:t>
      </w:r>
    </w:p>
    <w:p w14:paraId="4337B602" w14:textId="77777777" w:rsidR="002B55F1" w:rsidRPr="00D66413" w:rsidRDefault="002B55F1">
      <w:pPr>
        <w:jc w:val="both"/>
        <w:rPr>
          <w:rFonts w:ascii="Verdana" w:hAnsi="Verdana"/>
          <w:b/>
          <w:bCs/>
          <w:color w:val="800000"/>
          <w:sz w:val="18"/>
          <w:szCs w:val="18"/>
        </w:rPr>
      </w:pPr>
      <w:r w:rsidRPr="00D66413">
        <w:rPr>
          <w:rFonts w:ascii="Verdana" w:hAnsi="Verdana"/>
          <w:b/>
          <w:bCs/>
          <w:color w:val="800000"/>
          <w:sz w:val="18"/>
          <w:szCs w:val="18"/>
        </w:rPr>
        <w:t>Retenciones e ingresos a cuenta de rendimientos del trabajo, actividades económicas, premios y determinadas ganancias patrimoniales e imputaciones de renta, ganancias derivadas de acciones y participaciones de las instituciones de inversión colectiva, rentas de arrendamiento de inmuebles urbanos, capital mobiliario, personas autorizadas y saldos en cuentas</w:t>
      </w:r>
    </w:p>
    <w:p w14:paraId="4B4E4923" w14:textId="26417B2D" w:rsidR="002B55F1" w:rsidRPr="00D66413" w:rsidRDefault="002B55F1">
      <w:pPr>
        <w:numPr>
          <w:ilvl w:val="0"/>
          <w:numId w:val="1"/>
        </w:numPr>
        <w:jc w:val="both"/>
        <w:rPr>
          <w:rFonts w:ascii="Verdana" w:hAnsi="Verdana"/>
          <w:sz w:val="18"/>
          <w:szCs w:val="18"/>
          <w:lang w:val="es-ES_tradnl"/>
        </w:rPr>
      </w:pPr>
      <w:r w:rsidRPr="00D66413">
        <w:rPr>
          <w:rFonts w:ascii="Verdana" w:hAnsi="Verdana"/>
          <w:sz w:val="18"/>
          <w:szCs w:val="18"/>
          <w:lang w:val="es-ES_tradnl"/>
        </w:rPr>
        <w:t xml:space="preserve">Agosto </w:t>
      </w:r>
      <w:r w:rsidR="00753E93">
        <w:rPr>
          <w:rFonts w:ascii="Verdana" w:hAnsi="Verdana"/>
          <w:sz w:val="18"/>
          <w:szCs w:val="18"/>
          <w:lang w:val="es-ES_tradnl"/>
        </w:rPr>
        <w:t>2020</w:t>
      </w:r>
      <w:r w:rsidRPr="00D66413">
        <w:rPr>
          <w:rFonts w:ascii="Verdana" w:hAnsi="Verdana"/>
          <w:sz w:val="18"/>
          <w:szCs w:val="18"/>
          <w:lang w:val="es-ES_tradnl"/>
        </w:rPr>
        <w:t>. Grandes empresas. Modelos 111, 115, 117, 123, 124, 126, 128</w:t>
      </w:r>
      <w:r w:rsidR="00EC327D">
        <w:rPr>
          <w:rFonts w:ascii="Verdana" w:hAnsi="Verdana"/>
          <w:sz w:val="18"/>
          <w:szCs w:val="18"/>
          <w:lang w:val="es-ES_tradnl"/>
        </w:rPr>
        <w:t xml:space="preserve">, </w:t>
      </w:r>
      <w:r w:rsidR="00DF1F7F">
        <w:rPr>
          <w:rFonts w:ascii="Verdana" w:hAnsi="Verdana"/>
          <w:sz w:val="18"/>
          <w:szCs w:val="18"/>
          <w:lang w:val="es-ES_tradnl"/>
        </w:rPr>
        <w:t xml:space="preserve">216, </w:t>
      </w:r>
      <w:r w:rsidR="00EC327D">
        <w:rPr>
          <w:rFonts w:ascii="Verdana" w:hAnsi="Verdana"/>
          <w:sz w:val="18"/>
          <w:szCs w:val="18"/>
          <w:lang w:val="es-ES_tradnl"/>
        </w:rPr>
        <w:t>230</w:t>
      </w:r>
      <w:r w:rsidRPr="00D66413">
        <w:rPr>
          <w:rFonts w:ascii="Verdana" w:hAnsi="Verdana"/>
          <w:sz w:val="18"/>
          <w:szCs w:val="18"/>
          <w:lang w:val="es-ES_tradnl"/>
        </w:rPr>
        <w:t>.</w:t>
      </w:r>
    </w:p>
    <w:p w14:paraId="15589876" w14:textId="77777777" w:rsidR="002B55F1" w:rsidRPr="00D66413" w:rsidRDefault="002B55F1">
      <w:pPr>
        <w:numPr>
          <w:ilvl w:val="12"/>
          <w:numId w:val="0"/>
        </w:numPr>
        <w:jc w:val="both"/>
        <w:rPr>
          <w:rFonts w:ascii="Verdana" w:hAnsi="Verdana"/>
          <w:sz w:val="18"/>
          <w:szCs w:val="18"/>
          <w:lang w:val="es-ES_tradnl"/>
        </w:rPr>
      </w:pPr>
    </w:p>
    <w:p w14:paraId="02DDAB0E" w14:textId="77777777" w:rsidR="002B55F1" w:rsidRPr="00D66413" w:rsidRDefault="002B55F1">
      <w:pPr>
        <w:rPr>
          <w:rFonts w:ascii="Verdana" w:hAnsi="Verdana"/>
          <w:b/>
          <w:bCs/>
          <w:color w:val="800000"/>
          <w:sz w:val="18"/>
          <w:szCs w:val="18"/>
        </w:rPr>
      </w:pPr>
      <w:r w:rsidRPr="00D66413">
        <w:rPr>
          <w:rFonts w:ascii="Verdana" w:hAnsi="Verdana"/>
          <w:b/>
          <w:bCs/>
          <w:color w:val="800000"/>
          <w:sz w:val="18"/>
          <w:szCs w:val="18"/>
        </w:rPr>
        <w:t>Impuesto sobre el Valor Añadido</w:t>
      </w:r>
    </w:p>
    <w:p w14:paraId="0CF7F6CE" w14:textId="7EEC9A43" w:rsidR="00F63D6B" w:rsidRPr="002003E0" w:rsidRDefault="00F63D6B" w:rsidP="00F63D6B">
      <w:pPr>
        <w:numPr>
          <w:ilvl w:val="0"/>
          <w:numId w:val="1"/>
        </w:numPr>
        <w:jc w:val="both"/>
        <w:rPr>
          <w:rFonts w:ascii="Verdana" w:hAnsi="Verdana"/>
          <w:sz w:val="18"/>
          <w:szCs w:val="18"/>
          <w:lang w:val="es-ES_tradnl"/>
        </w:rPr>
      </w:pPr>
      <w:r>
        <w:rPr>
          <w:rFonts w:ascii="Verdana" w:hAnsi="Verdana"/>
          <w:sz w:val="18"/>
          <w:szCs w:val="18"/>
          <w:lang w:val="es-ES_tradnl"/>
        </w:rPr>
        <w:t xml:space="preserve">Julio y </w:t>
      </w:r>
      <w:r w:rsidR="00CA156F">
        <w:rPr>
          <w:rFonts w:ascii="Verdana" w:hAnsi="Verdana"/>
          <w:sz w:val="18"/>
          <w:szCs w:val="18"/>
          <w:lang w:val="es-ES_tradnl"/>
        </w:rPr>
        <w:t>A</w:t>
      </w:r>
      <w:r w:rsidR="004951C2">
        <w:rPr>
          <w:rFonts w:ascii="Verdana" w:hAnsi="Verdana"/>
          <w:sz w:val="18"/>
          <w:szCs w:val="18"/>
          <w:lang w:val="es-ES_tradnl"/>
        </w:rPr>
        <w:t>gosto</w:t>
      </w:r>
      <w:r w:rsidRPr="00D66413">
        <w:rPr>
          <w:rFonts w:ascii="Verdana" w:hAnsi="Verdana"/>
          <w:sz w:val="18"/>
          <w:szCs w:val="18"/>
          <w:lang w:val="es-ES_tradnl"/>
        </w:rPr>
        <w:t xml:space="preserve"> </w:t>
      </w:r>
      <w:r w:rsidR="00753E93">
        <w:rPr>
          <w:rFonts w:ascii="Verdana" w:hAnsi="Verdana"/>
          <w:sz w:val="18"/>
          <w:szCs w:val="18"/>
          <w:lang w:val="es-ES_tradnl"/>
        </w:rPr>
        <w:t>2020</w:t>
      </w:r>
      <w:r w:rsidRPr="00D66413">
        <w:rPr>
          <w:rFonts w:ascii="Verdana" w:hAnsi="Verdana"/>
          <w:sz w:val="18"/>
          <w:szCs w:val="18"/>
          <w:lang w:val="es-ES_tradnl"/>
        </w:rPr>
        <w:t>. Declaración recapitulativa de op</w:t>
      </w:r>
      <w:r>
        <w:rPr>
          <w:rFonts w:ascii="Verdana" w:hAnsi="Verdana"/>
          <w:sz w:val="18"/>
          <w:szCs w:val="18"/>
          <w:lang w:val="es-ES_tradnl"/>
        </w:rPr>
        <w:t>s.</w:t>
      </w:r>
      <w:r w:rsidRPr="00D66413">
        <w:rPr>
          <w:rFonts w:ascii="Verdana" w:hAnsi="Verdana"/>
          <w:sz w:val="18"/>
          <w:szCs w:val="18"/>
          <w:lang w:val="es-ES_tradnl"/>
        </w:rPr>
        <w:t xml:space="preserve"> intracomunitarias. Modelo 349.</w:t>
      </w:r>
    </w:p>
    <w:p w14:paraId="1FC3F197" w14:textId="19F1AC8E" w:rsidR="002B55F1" w:rsidRPr="00D66413" w:rsidRDefault="002003E0">
      <w:pPr>
        <w:numPr>
          <w:ilvl w:val="0"/>
          <w:numId w:val="1"/>
        </w:numPr>
        <w:jc w:val="both"/>
        <w:rPr>
          <w:rFonts w:ascii="Verdana" w:hAnsi="Verdana"/>
          <w:sz w:val="18"/>
          <w:szCs w:val="18"/>
          <w:lang w:val="es-ES_tradnl"/>
        </w:rPr>
      </w:pPr>
      <w:r>
        <w:rPr>
          <w:rFonts w:ascii="Verdana" w:hAnsi="Verdana"/>
          <w:sz w:val="18"/>
          <w:szCs w:val="18"/>
          <w:lang w:val="es-ES_tradnl"/>
        </w:rPr>
        <w:t>Agosto</w:t>
      </w:r>
      <w:r w:rsidR="002B55F1" w:rsidRPr="00D66413">
        <w:rPr>
          <w:rFonts w:ascii="Verdana" w:hAnsi="Verdana"/>
          <w:sz w:val="18"/>
          <w:szCs w:val="18"/>
          <w:lang w:val="es-ES_tradnl"/>
        </w:rPr>
        <w:t xml:space="preserve"> </w:t>
      </w:r>
      <w:r w:rsidR="00753E93">
        <w:rPr>
          <w:rFonts w:ascii="Verdana" w:hAnsi="Verdana"/>
          <w:sz w:val="18"/>
          <w:szCs w:val="18"/>
          <w:lang w:val="es-ES_tradnl"/>
        </w:rPr>
        <w:t>2020</w:t>
      </w:r>
      <w:r w:rsidR="002B55F1" w:rsidRPr="00D66413">
        <w:rPr>
          <w:rFonts w:ascii="Verdana" w:hAnsi="Verdana"/>
          <w:sz w:val="18"/>
          <w:szCs w:val="18"/>
          <w:lang w:val="es-ES_tradnl"/>
        </w:rPr>
        <w:t>. Operaciones asimiladas a las importaciones. Modelo 380.</w:t>
      </w:r>
    </w:p>
    <w:p w14:paraId="3B17F388" w14:textId="77777777" w:rsidR="002B55F1" w:rsidRPr="00D66413" w:rsidRDefault="002B55F1">
      <w:pPr>
        <w:jc w:val="both"/>
        <w:rPr>
          <w:rFonts w:ascii="Verdana" w:hAnsi="Verdana"/>
          <w:sz w:val="18"/>
          <w:szCs w:val="18"/>
          <w:lang w:val="es-ES_tradnl"/>
        </w:rPr>
      </w:pPr>
    </w:p>
    <w:p w14:paraId="66030928" w14:textId="77777777" w:rsidR="002B55F1" w:rsidRPr="00D66413" w:rsidRDefault="002B55F1">
      <w:pPr>
        <w:keepNext/>
        <w:jc w:val="both"/>
        <w:outlineLvl w:val="7"/>
        <w:rPr>
          <w:rFonts w:ascii="Verdana" w:hAnsi="Verdana"/>
          <w:b/>
          <w:bCs/>
          <w:color w:val="800000"/>
          <w:sz w:val="18"/>
          <w:szCs w:val="18"/>
          <w:lang w:val="es-ES_tradnl"/>
        </w:rPr>
      </w:pPr>
      <w:r w:rsidRPr="00D66413">
        <w:rPr>
          <w:rFonts w:ascii="Verdana" w:hAnsi="Verdana"/>
          <w:b/>
          <w:bCs/>
          <w:color w:val="800000"/>
          <w:sz w:val="18"/>
          <w:szCs w:val="18"/>
          <w:lang w:val="es-ES_tradnl"/>
        </w:rPr>
        <w:t>Impuestos Especiales de Fabricación</w:t>
      </w:r>
    </w:p>
    <w:p w14:paraId="1D833CD8" w14:textId="1099B0E3" w:rsidR="002B55F1" w:rsidRPr="00D66413" w:rsidRDefault="002B55F1" w:rsidP="00C008BE">
      <w:pPr>
        <w:numPr>
          <w:ilvl w:val="0"/>
          <w:numId w:val="6"/>
        </w:numPr>
        <w:ind w:left="284" w:hanging="284"/>
        <w:jc w:val="both"/>
        <w:rPr>
          <w:rFonts w:ascii="Verdana" w:hAnsi="Verdana"/>
          <w:sz w:val="18"/>
          <w:szCs w:val="18"/>
          <w:lang w:val="es-ES_tradnl"/>
        </w:rPr>
      </w:pPr>
      <w:r w:rsidRPr="00D66413">
        <w:rPr>
          <w:rFonts w:ascii="Verdana" w:hAnsi="Verdana"/>
          <w:sz w:val="18"/>
          <w:szCs w:val="18"/>
          <w:lang w:val="es-ES_tradnl"/>
        </w:rPr>
        <w:t xml:space="preserve">Junio </w:t>
      </w:r>
      <w:r w:rsidR="00753E93">
        <w:rPr>
          <w:rFonts w:ascii="Verdana" w:hAnsi="Verdana"/>
          <w:sz w:val="18"/>
          <w:szCs w:val="18"/>
          <w:lang w:val="es-ES_tradnl"/>
        </w:rPr>
        <w:t>2020</w:t>
      </w:r>
      <w:r w:rsidR="00C008BE" w:rsidRPr="00C008BE">
        <w:rPr>
          <w:rFonts w:ascii="Verdana" w:hAnsi="Verdana"/>
          <w:sz w:val="16"/>
          <w:szCs w:val="16"/>
          <w:lang w:val="es-ES_tradnl"/>
        </w:rPr>
        <w:t>(*)</w:t>
      </w:r>
      <w:r w:rsidRPr="00D66413">
        <w:rPr>
          <w:rFonts w:ascii="Verdana" w:hAnsi="Verdana"/>
          <w:sz w:val="18"/>
          <w:szCs w:val="18"/>
          <w:lang w:val="es-ES_tradnl"/>
        </w:rPr>
        <w:t>. Grandes Empresas</w:t>
      </w:r>
      <w:r w:rsidR="00F63D6B">
        <w:rPr>
          <w:rFonts w:ascii="Verdana" w:hAnsi="Verdana"/>
          <w:sz w:val="18"/>
          <w:szCs w:val="18"/>
          <w:lang w:val="es-ES_tradnl"/>
        </w:rPr>
        <w:t>.</w:t>
      </w:r>
      <w:r w:rsidRPr="00D66413">
        <w:rPr>
          <w:rFonts w:ascii="Verdana" w:hAnsi="Verdana"/>
          <w:sz w:val="18"/>
          <w:szCs w:val="18"/>
          <w:lang w:val="es-ES_tradnl"/>
        </w:rPr>
        <w:t xml:space="preserve"> Modelos 553, 554, 555, 556, 557, 558.</w:t>
      </w:r>
    </w:p>
    <w:p w14:paraId="4EC1E0DE" w14:textId="6F582CF0" w:rsidR="002B55F1" w:rsidRPr="00D66413" w:rsidRDefault="002B55F1" w:rsidP="00C008BE">
      <w:pPr>
        <w:numPr>
          <w:ilvl w:val="0"/>
          <w:numId w:val="6"/>
        </w:numPr>
        <w:ind w:left="284" w:hanging="284"/>
        <w:jc w:val="both"/>
        <w:rPr>
          <w:rFonts w:ascii="Verdana" w:hAnsi="Verdana"/>
          <w:sz w:val="18"/>
          <w:szCs w:val="18"/>
          <w:lang w:val="es-ES_tradnl"/>
        </w:rPr>
      </w:pPr>
      <w:r w:rsidRPr="00D66413">
        <w:rPr>
          <w:rFonts w:ascii="Verdana" w:hAnsi="Verdana"/>
          <w:sz w:val="18"/>
          <w:szCs w:val="18"/>
          <w:lang w:val="es-ES_tradnl"/>
        </w:rPr>
        <w:t xml:space="preserve">Junio </w:t>
      </w:r>
      <w:r w:rsidR="00753E93">
        <w:rPr>
          <w:rFonts w:ascii="Verdana" w:hAnsi="Verdana"/>
          <w:sz w:val="18"/>
          <w:szCs w:val="18"/>
          <w:lang w:val="es-ES_tradnl"/>
        </w:rPr>
        <w:t>2020</w:t>
      </w:r>
      <w:r w:rsidRPr="00D66413">
        <w:rPr>
          <w:rFonts w:ascii="Verdana" w:hAnsi="Verdana"/>
          <w:sz w:val="18"/>
          <w:szCs w:val="18"/>
          <w:lang w:val="es-ES_tradnl"/>
        </w:rPr>
        <w:t>. Grandes Empresas. Modelos 561, 562, 563.</w:t>
      </w:r>
    </w:p>
    <w:p w14:paraId="7EDC798A" w14:textId="18184295" w:rsidR="002B55F1" w:rsidRDefault="002B55F1" w:rsidP="00C008BE">
      <w:pPr>
        <w:numPr>
          <w:ilvl w:val="0"/>
          <w:numId w:val="6"/>
        </w:numPr>
        <w:ind w:left="284" w:hanging="284"/>
        <w:jc w:val="both"/>
        <w:rPr>
          <w:rFonts w:ascii="Verdana" w:hAnsi="Verdana"/>
          <w:sz w:val="18"/>
          <w:szCs w:val="18"/>
          <w:lang w:val="es-ES_tradnl"/>
        </w:rPr>
      </w:pPr>
      <w:r w:rsidRPr="00D66413">
        <w:rPr>
          <w:rFonts w:ascii="Verdana" w:hAnsi="Verdana"/>
          <w:sz w:val="18"/>
          <w:szCs w:val="18"/>
          <w:lang w:val="es-ES_tradnl"/>
        </w:rPr>
        <w:t xml:space="preserve">Agosto </w:t>
      </w:r>
      <w:r w:rsidR="00753E93">
        <w:rPr>
          <w:rFonts w:ascii="Verdana" w:hAnsi="Verdana"/>
          <w:sz w:val="18"/>
          <w:szCs w:val="18"/>
          <w:lang w:val="es-ES_tradnl"/>
        </w:rPr>
        <w:t>2020</w:t>
      </w:r>
      <w:r w:rsidRPr="00D66413">
        <w:rPr>
          <w:rFonts w:ascii="Verdana" w:hAnsi="Verdana"/>
          <w:sz w:val="18"/>
          <w:szCs w:val="18"/>
          <w:lang w:val="es-ES_tradnl"/>
        </w:rPr>
        <w:t xml:space="preserve">. Modelos </w:t>
      </w:r>
      <w:r w:rsidR="00F63D6B">
        <w:rPr>
          <w:rFonts w:ascii="Verdana" w:hAnsi="Verdana"/>
          <w:sz w:val="18"/>
          <w:szCs w:val="18"/>
          <w:lang w:val="es-ES_tradnl"/>
        </w:rPr>
        <w:t xml:space="preserve">548, </w:t>
      </w:r>
      <w:r w:rsidRPr="00D66413">
        <w:rPr>
          <w:rFonts w:ascii="Verdana" w:hAnsi="Verdana"/>
          <w:sz w:val="18"/>
          <w:szCs w:val="18"/>
          <w:lang w:val="es-ES_tradnl"/>
        </w:rPr>
        <w:t>56</w:t>
      </w:r>
      <w:r w:rsidR="003E07DB">
        <w:rPr>
          <w:rFonts w:ascii="Verdana" w:hAnsi="Verdana"/>
          <w:sz w:val="18"/>
          <w:szCs w:val="18"/>
          <w:lang w:val="es-ES_tradnl"/>
        </w:rPr>
        <w:t>6</w:t>
      </w:r>
      <w:r w:rsidRPr="00D66413">
        <w:rPr>
          <w:rFonts w:ascii="Verdana" w:hAnsi="Verdana"/>
          <w:sz w:val="18"/>
          <w:szCs w:val="18"/>
          <w:lang w:val="es-ES_tradnl"/>
        </w:rPr>
        <w:t>, 5</w:t>
      </w:r>
      <w:r w:rsidR="003E07DB">
        <w:rPr>
          <w:rFonts w:ascii="Verdana" w:hAnsi="Verdana"/>
          <w:sz w:val="18"/>
          <w:szCs w:val="18"/>
          <w:lang w:val="es-ES_tradnl"/>
        </w:rPr>
        <w:t>81</w:t>
      </w:r>
      <w:r w:rsidRPr="00D66413">
        <w:rPr>
          <w:rFonts w:ascii="Verdana" w:hAnsi="Verdana"/>
          <w:sz w:val="18"/>
          <w:szCs w:val="18"/>
          <w:lang w:val="es-ES_tradnl"/>
        </w:rPr>
        <w:t>.</w:t>
      </w:r>
    </w:p>
    <w:p w14:paraId="56A7AEBC" w14:textId="1F7A7C71" w:rsidR="002B55F1" w:rsidRPr="00C008BE" w:rsidRDefault="004951C2" w:rsidP="00C008BE">
      <w:pPr>
        <w:pStyle w:val="Prrafodelista"/>
        <w:numPr>
          <w:ilvl w:val="0"/>
          <w:numId w:val="6"/>
        </w:numPr>
        <w:autoSpaceDE w:val="0"/>
        <w:autoSpaceDN w:val="0"/>
        <w:adjustRightInd w:val="0"/>
        <w:ind w:left="284" w:hanging="284"/>
        <w:jc w:val="both"/>
        <w:rPr>
          <w:rFonts w:ascii="Verdana" w:hAnsi="Verdana"/>
          <w:sz w:val="18"/>
          <w:szCs w:val="18"/>
          <w:lang w:val="es-ES_tradnl"/>
        </w:rPr>
      </w:pPr>
      <w:r w:rsidRPr="00C008BE">
        <w:rPr>
          <w:rFonts w:ascii="Verdana" w:hAnsi="Verdana"/>
          <w:sz w:val="18"/>
          <w:szCs w:val="18"/>
          <w:lang w:val="es-ES_tradnl"/>
        </w:rPr>
        <w:t xml:space="preserve">Declaración de operaciones por los </w:t>
      </w:r>
      <w:r w:rsidR="001B4E5B" w:rsidRPr="00C008BE">
        <w:rPr>
          <w:rFonts w:ascii="Verdana" w:hAnsi="Verdana"/>
          <w:sz w:val="18"/>
          <w:szCs w:val="18"/>
          <w:lang w:val="es-ES_tradnl"/>
        </w:rPr>
        <w:t>destinatarios registrados, representantes fiscales y receptores autorizados. Modelo 510.</w:t>
      </w:r>
    </w:p>
    <w:p w14:paraId="79E73743" w14:textId="77777777" w:rsidR="001B4E5B" w:rsidRDefault="001B4E5B" w:rsidP="00CD489E">
      <w:pPr>
        <w:autoSpaceDE w:val="0"/>
        <w:autoSpaceDN w:val="0"/>
        <w:adjustRightInd w:val="0"/>
        <w:rPr>
          <w:rFonts w:ascii="Verdana" w:hAnsi="Verdana"/>
          <w:sz w:val="18"/>
          <w:szCs w:val="18"/>
          <w:lang w:val="es-ES_tradnl"/>
        </w:rPr>
      </w:pPr>
    </w:p>
    <w:p w14:paraId="1B6004A2" w14:textId="36B4B7CC" w:rsidR="00C008BE" w:rsidRPr="00C008BE" w:rsidRDefault="00C008BE" w:rsidP="00C008BE">
      <w:pPr>
        <w:autoSpaceDE w:val="0"/>
        <w:autoSpaceDN w:val="0"/>
        <w:adjustRightInd w:val="0"/>
        <w:jc w:val="both"/>
        <w:rPr>
          <w:rFonts w:ascii="Verdana" w:hAnsi="Verdana"/>
          <w:sz w:val="18"/>
          <w:szCs w:val="18"/>
          <w:lang w:val="es-ES_tradnl"/>
        </w:rPr>
      </w:pPr>
      <w:r w:rsidRPr="00C008BE">
        <w:rPr>
          <w:rFonts w:ascii="Verdana" w:hAnsi="Verdana"/>
          <w:sz w:val="16"/>
          <w:szCs w:val="16"/>
          <w:lang w:val="es-ES_tradnl"/>
        </w:rPr>
        <w:t>(*)</w:t>
      </w:r>
      <w:r>
        <w:rPr>
          <w:rFonts w:ascii="Verdana" w:hAnsi="Verdana"/>
          <w:sz w:val="16"/>
          <w:szCs w:val="16"/>
          <w:lang w:val="es-ES_tradnl"/>
        </w:rPr>
        <w:t xml:space="preserve"> </w:t>
      </w:r>
      <w:r>
        <w:rPr>
          <w:rFonts w:ascii="Verdana" w:hAnsi="Verdana"/>
          <w:sz w:val="18"/>
          <w:szCs w:val="18"/>
          <w:lang w:val="es-ES_tradnl"/>
        </w:rPr>
        <w:t>Fábricas y depósitos fiscales que hayan optado por suministrar los asientos contables correspondientes al primer semestre de 2020 a través de la Sede electrónica de la AEAT (Agencia Estatal de Administración Tributaria) entre el 1 de julio y el 30 de septiembre de 2020)</w:t>
      </w:r>
    </w:p>
    <w:p w14:paraId="4D9E7572" w14:textId="77777777" w:rsidR="00C008BE" w:rsidRDefault="00C008BE" w:rsidP="00CD489E">
      <w:pPr>
        <w:autoSpaceDE w:val="0"/>
        <w:autoSpaceDN w:val="0"/>
        <w:adjustRightInd w:val="0"/>
        <w:rPr>
          <w:rFonts w:ascii="Verdana" w:hAnsi="Verdana"/>
          <w:sz w:val="18"/>
          <w:szCs w:val="18"/>
          <w:lang w:val="es-ES_tradnl"/>
        </w:rPr>
      </w:pPr>
    </w:p>
    <w:p w14:paraId="364004CB" w14:textId="77777777" w:rsidR="001B4E5B" w:rsidRDefault="001B4E5B" w:rsidP="001B4E5B">
      <w:pPr>
        <w:keepNext/>
        <w:jc w:val="both"/>
        <w:outlineLvl w:val="7"/>
        <w:rPr>
          <w:rFonts w:ascii="Verdana" w:hAnsi="Verdana"/>
          <w:b/>
          <w:bCs/>
          <w:color w:val="800000"/>
          <w:sz w:val="18"/>
          <w:szCs w:val="18"/>
          <w:lang w:val="es-ES_tradnl"/>
        </w:rPr>
      </w:pPr>
      <w:r w:rsidRPr="001B4E5B">
        <w:rPr>
          <w:rFonts w:ascii="Verdana" w:hAnsi="Verdana"/>
          <w:b/>
          <w:bCs/>
          <w:color w:val="800000"/>
          <w:sz w:val="18"/>
          <w:szCs w:val="18"/>
          <w:lang w:val="es-ES_tradnl"/>
        </w:rPr>
        <w:t xml:space="preserve">Impuesto </w:t>
      </w:r>
      <w:r w:rsidR="009951A6">
        <w:rPr>
          <w:rFonts w:ascii="Verdana" w:hAnsi="Verdana"/>
          <w:b/>
          <w:bCs/>
          <w:color w:val="800000"/>
          <w:sz w:val="18"/>
          <w:szCs w:val="18"/>
          <w:lang w:val="es-ES_tradnl"/>
        </w:rPr>
        <w:t>E</w:t>
      </w:r>
      <w:r w:rsidRPr="001B4E5B">
        <w:rPr>
          <w:rFonts w:ascii="Verdana" w:hAnsi="Verdana"/>
          <w:b/>
          <w:bCs/>
          <w:color w:val="800000"/>
          <w:sz w:val="18"/>
          <w:szCs w:val="18"/>
          <w:lang w:val="es-ES_tradnl"/>
        </w:rPr>
        <w:t xml:space="preserve">special sobre la </w:t>
      </w:r>
      <w:r w:rsidR="009951A6">
        <w:rPr>
          <w:rFonts w:ascii="Verdana" w:hAnsi="Verdana"/>
          <w:b/>
          <w:bCs/>
          <w:color w:val="800000"/>
          <w:sz w:val="18"/>
          <w:szCs w:val="18"/>
          <w:lang w:val="es-ES_tradnl"/>
        </w:rPr>
        <w:t>E</w:t>
      </w:r>
      <w:r w:rsidRPr="001B4E5B">
        <w:rPr>
          <w:rFonts w:ascii="Verdana" w:hAnsi="Verdana"/>
          <w:b/>
          <w:bCs/>
          <w:color w:val="800000"/>
          <w:sz w:val="18"/>
          <w:szCs w:val="18"/>
          <w:lang w:val="es-ES_tradnl"/>
        </w:rPr>
        <w:t>lectricidad</w:t>
      </w:r>
    </w:p>
    <w:p w14:paraId="5104B889" w14:textId="36C42747" w:rsidR="001B4E5B" w:rsidRPr="00D66413" w:rsidRDefault="001B4E5B" w:rsidP="00C008BE">
      <w:pPr>
        <w:numPr>
          <w:ilvl w:val="0"/>
          <w:numId w:val="6"/>
        </w:numPr>
        <w:ind w:left="284" w:hanging="284"/>
        <w:jc w:val="both"/>
        <w:rPr>
          <w:rFonts w:ascii="Verdana" w:hAnsi="Verdana"/>
          <w:sz w:val="18"/>
          <w:szCs w:val="18"/>
          <w:lang w:val="es-ES_tradnl"/>
        </w:rPr>
      </w:pPr>
      <w:r>
        <w:rPr>
          <w:rFonts w:ascii="Verdana" w:hAnsi="Verdana"/>
          <w:sz w:val="18"/>
          <w:szCs w:val="18"/>
          <w:lang w:val="es-ES_tradnl"/>
        </w:rPr>
        <w:t xml:space="preserve">Agosto </w:t>
      </w:r>
      <w:r w:rsidR="00753E93">
        <w:rPr>
          <w:rFonts w:ascii="Verdana" w:hAnsi="Verdana"/>
          <w:sz w:val="18"/>
          <w:szCs w:val="18"/>
          <w:lang w:val="es-ES_tradnl"/>
        </w:rPr>
        <w:t>2020</w:t>
      </w:r>
      <w:r>
        <w:rPr>
          <w:rFonts w:ascii="Verdana" w:hAnsi="Verdana"/>
          <w:sz w:val="18"/>
          <w:szCs w:val="18"/>
          <w:lang w:val="es-ES_tradnl"/>
        </w:rPr>
        <w:t>. Grandes empresas. Modelo 560.</w:t>
      </w:r>
    </w:p>
    <w:p w14:paraId="3D2842FA" w14:textId="77777777" w:rsidR="002B55F1" w:rsidRPr="00D66413" w:rsidRDefault="002B55F1">
      <w:pPr>
        <w:jc w:val="both"/>
        <w:rPr>
          <w:rFonts w:ascii="Verdana" w:hAnsi="Verdana"/>
          <w:sz w:val="18"/>
          <w:szCs w:val="18"/>
          <w:lang w:val="es-ES_tradnl"/>
        </w:rPr>
      </w:pPr>
    </w:p>
    <w:p w14:paraId="4C9E372D" w14:textId="77777777" w:rsidR="002B55F1" w:rsidRPr="00D66413" w:rsidRDefault="002B55F1">
      <w:pPr>
        <w:keepNext/>
        <w:jc w:val="both"/>
        <w:outlineLvl w:val="7"/>
        <w:rPr>
          <w:rFonts w:ascii="Verdana" w:hAnsi="Verdana"/>
          <w:b/>
          <w:bCs/>
          <w:color w:val="800000"/>
          <w:sz w:val="18"/>
          <w:szCs w:val="18"/>
          <w:lang w:val="es-ES_tradnl"/>
        </w:rPr>
      </w:pPr>
      <w:r w:rsidRPr="00D66413">
        <w:rPr>
          <w:rFonts w:ascii="Verdana" w:hAnsi="Verdana"/>
          <w:b/>
          <w:bCs/>
          <w:color w:val="800000"/>
          <w:sz w:val="18"/>
          <w:szCs w:val="18"/>
          <w:lang w:val="es-ES_tradnl"/>
        </w:rPr>
        <w:t>Impuesto sobre las Primas de Seguros</w:t>
      </w:r>
    </w:p>
    <w:p w14:paraId="6CB7A8B0" w14:textId="58BE63E2" w:rsidR="002B55F1" w:rsidRPr="002003E0" w:rsidRDefault="002003E0" w:rsidP="00C008BE">
      <w:pPr>
        <w:numPr>
          <w:ilvl w:val="0"/>
          <w:numId w:val="6"/>
        </w:numPr>
        <w:ind w:left="284" w:hanging="284"/>
        <w:jc w:val="both"/>
        <w:rPr>
          <w:rFonts w:ascii="Verdana" w:hAnsi="Verdana"/>
          <w:b/>
          <w:sz w:val="18"/>
          <w:szCs w:val="18"/>
          <w:lang w:val="es-ES_tradnl"/>
        </w:rPr>
      </w:pPr>
      <w:r>
        <w:rPr>
          <w:rFonts w:ascii="Verdana" w:hAnsi="Verdana"/>
          <w:sz w:val="18"/>
          <w:szCs w:val="18"/>
          <w:lang w:val="es-ES_tradnl"/>
        </w:rPr>
        <w:t xml:space="preserve">Julio y </w:t>
      </w:r>
      <w:r w:rsidR="005644E8">
        <w:rPr>
          <w:rFonts w:ascii="Verdana" w:hAnsi="Verdana"/>
          <w:sz w:val="18"/>
          <w:szCs w:val="18"/>
          <w:lang w:val="es-ES_tradnl"/>
        </w:rPr>
        <w:t>A</w:t>
      </w:r>
      <w:r w:rsidR="001B4E5B">
        <w:rPr>
          <w:rFonts w:ascii="Verdana" w:hAnsi="Verdana"/>
          <w:sz w:val="18"/>
          <w:szCs w:val="18"/>
          <w:lang w:val="es-ES_tradnl"/>
        </w:rPr>
        <w:t>gosto</w:t>
      </w:r>
      <w:r w:rsidR="002B55F1" w:rsidRPr="00D66413">
        <w:rPr>
          <w:rFonts w:ascii="Verdana" w:hAnsi="Verdana"/>
          <w:sz w:val="18"/>
          <w:szCs w:val="18"/>
          <w:lang w:val="es-ES_tradnl"/>
        </w:rPr>
        <w:t xml:space="preserve"> </w:t>
      </w:r>
      <w:r w:rsidR="00753E93">
        <w:rPr>
          <w:rFonts w:ascii="Verdana" w:hAnsi="Verdana"/>
          <w:sz w:val="18"/>
          <w:szCs w:val="18"/>
          <w:lang w:val="es-ES_tradnl"/>
        </w:rPr>
        <w:t>2020</w:t>
      </w:r>
      <w:r w:rsidR="002B55F1" w:rsidRPr="00D66413">
        <w:rPr>
          <w:rFonts w:ascii="Verdana" w:hAnsi="Verdana"/>
          <w:sz w:val="18"/>
          <w:szCs w:val="18"/>
          <w:lang w:val="es-ES_tradnl"/>
        </w:rPr>
        <w:t>. Modelo 430</w:t>
      </w:r>
      <w:r w:rsidR="00D66413">
        <w:rPr>
          <w:rFonts w:ascii="Verdana" w:hAnsi="Verdana"/>
          <w:sz w:val="18"/>
          <w:szCs w:val="18"/>
          <w:lang w:val="es-ES_tradnl"/>
        </w:rPr>
        <w:t>.</w:t>
      </w:r>
    </w:p>
    <w:p w14:paraId="5CCF64FE" w14:textId="77777777" w:rsidR="002003E0" w:rsidRDefault="002003E0" w:rsidP="002003E0">
      <w:pPr>
        <w:jc w:val="both"/>
        <w:rPr>
          <w:rFonts w:ascii="Verdana" w:hAnsi="Verdana"/>
          <w:sz w:val="18"/>
          <w:szCs w:val="18"/>
          <w:lang w:val="es-ES_tradnl"/>
        </w:rPr>
      </w:pPr>
    </w:p>
    <w:p w14:paraId="1B624442" w14:textId="77777777" w:rsidR="002003E0" w:rsidRPr="002003E0" w:rsidRDefault="002003E0" w:rsidP="002003E0">
      <w:pPr>
        <w:keepNext/>
        <w:jc w:val="both"/>
        <w:outlineLvl w:val="7"/>
        <w:rPr>
          <w:rFonts w:ascii="Verdana" w:hAnsi="Verdana"/>
          <w:b/>
          <w:bCs/>
          <w:color w:val="800000"/>
          <w:sz w:val="18"/>
          <w:szCs w:val="18"/>
          <w:lang w:val="es-ES_tradnl"/>
        </w:rPr>
      </w:pPr>
      <w:r w:rsidRPr="002003E0">
        <w:rPr>
          <w:rFonts w:ascii="Verdana" w:hAnsi="Verdana"/>
          <w:b/>
          <w:bCs/>
          <w:color w:val="800000"/>
          <w:sz w:val="18"/>
          <w:szCs w:val="18"/>
          <w:lang w:val="es-ES_tradnl"/>
        </w:rPr>
        <w:t>Impuestos Medioambientales</w:t>
      </w:r>
    </w:p>
    <w:p w14:paraId="23E1659B" w14:textId="0863F17F" w:rsidR="002003E0" w:rsidRDefault="002003E0" w:rsidP="00C008BE">
      <w:pPr>
        <w:numPr>
          <w:ilvl w:val="0"/>
          <w:numId w:val="6"/>
        </w:numPr>
        <w:ind w:left="284" w:hanging="284"/>
        <w:jc w:val="both"/>
        <w:rPr>
          <w:rFonts w:ascii="Verdana" w:hAnsi="Verdana"/>
          <w:sz w:val="18"/>
          <w:szCs w:val="18"/>
          <w:lang w:val="es-ES_tradnl"/>
        </w:rPr>
      </w:pPr>
      <w:r>
        <w:rPr>
          <w:rFonts w:ascii="Verdana" w:hAnsi="Verdana"/>
          <w:sz w:val="18"/>
          <w:szCs w:val="18"/>
          <w:lang w:val="es-ES_tradnl"/>
        </w:rPr>
        <w:t xml:space="preserve">Segundo trimestre </w:t>
      </w:r>
      <w:r w:rsidR="00753E93">
        <w:rPr>
          <w:rFonts w:ascii="Verdana" w:hAnsi="Verdana"/>
          <w:sz w:val="18"/>
          <w:szCs w:val="18"/>
          <w:lang w:val="es-ES_tradnl"/>
        </w:rPr>
        <w:t>2020</w:t>
      </w:r>
      <w:r>
        <w:rPr>
          <w:rFonts w:ascii="Verdana" w:hAnsi="Verdana"/>
          <w:sz w:val="18"/>
          <w:szCs w:val="18"/>
          <w:lang w:val="es-ES_tradnl"/>
        </w:rPr>
        <w:t>. Pago fraccionado Modelo 583</w:t>
      </w:r>
      <w:r w:rsidRPr="00D66413">
        <w:rPr>
          <w:rFonts w:ascii="Verdana" w:hAnsi="Verdana"/>
          <w:sz w:val="18"/>
          <w:szCs w:val="18"/>
          <w:lang w:val="es-ES_tradnl"/>
        </w:rPr>
        <w:t>.</w:t>
      </w:r>
    </w:p>
    <w:p w14:paraId="1903A5AE" w14:textId="59EF3F6A" w:rsidR="00F63D6B" w:rsidRPr="00D66413" w:rsidRDefault="00F63D6B" w:rsidP="00C008BE">
      <w:pPr>
        <w:numPr>
          <w:ilvl w:val="0"/>
          <w:numId w:val="6"/>
        </w:numPr>
        <w:ind w:left="284" w:hanging="284"/>
        <w:jc w:val="both"/>
        <w:rPr>
          <w:rFonts w:ascii="Verdana" w:hAnsi="Verdana"/>
          <w:sz w:val="18"/>
          <w:szCs w:val="18"/>
          <w:lang w:val="es-ES_tradnl"/>
        </w:rPr>
      </w:pPr>
      <w:r>
        <w:rPr>
          <w:rFonts w:ascii="Verdana" w:hAnsi="Verdana"/>
          <w:sz w:val="18"/>
          <w:szCs w:val="18"/>
          <w:lang w:val="es-ES_tradnl"/>
        </w:rPr>
        <w:t xml:space="preserve">Segundo cuatrimestre </w:t>
      </w:r>
      <w:r w:rsidR="00753E93">
        <w:rPr>
          <w:rFonts w:ascii="Verdana" w:hAnsi="Verdana"/>
          <w:sz w:val="18"/>
          <w:szCs w:val="18"/>
          <w:lang w:val="es-ES_tradnl"/>
        </w:rPr>
        <w:t>2020</w:t>
      </w:r>
      <w:r>
        <w:rPr>
          <w:rFonts w:ascii="Verdana" w:hAnsi="Verdana"/>
          <w:sz w:val="18"/>
          <w:szCs w:val="18"/>
          <w:lang w:val="es-ES_tradnl"/>
        </w:rPr>
        <w:t xml:space="preserve">. </w:t>
      </w:r>
      <w:r w:rsidR="00CD489E">
        <w:rPr>
          <w:rFonts w:ascii="Verdana" w:hAnsi="Verdana"/>
          <w:sz w:val="18"/>
          <w:szCs w:val="18"/>
          <w:lang w:val="es-ES_tradnl"/>
        </w:rPr>
        <w:t>Autoliquidación. Modelo 587.</w:t>
      </w:r>
    </w:p>
    <w:p w14:paraId="2C2BABA2" w14:textId="77777777" w:rsidR="00CB75DB" w:rsidRDefault="00CB75DB" w:rsidP="002003E0">
      <w:pPr>
        <w:jc w:val="both"/>
        <w:rPr>
          <w:rFonts w:ascii="Verdana" w:hAnsi="Verdana"/>
          <w:b/>
          <w:sz w:val="18"/>
          <w:szCs w:val="18"/>
          <w:lang w:val="es-ES_tradnl"/>
        </w:rPr>
      </w:pPr>
    </w:p>
    <w:p w14:paraId="1E4FE621" w14:textId="77777777" w:rsidR="001D14E7" w:rsidRDefault="001D14E7" w:rsidP="002003E0">
      <w:pPr>
        <w:jc w:val="both"/>
        <w:rPr>
          <w:rFonts w:ascii="Verdana" w:hAnsi="Verdana"/>
          <w:b/>
          <w:sz w:val="18"/>
          <w:szCs w:val="18"/>
          <w:lang w:val="es-ES_tradnl"/>
        </w:rPr>
      </w:pPr>
    </w:p>
    <w:p w14:paraId="2264302F" w14:textId="7043B573" w:rsidR="00CB75DB" w:rsidRDefault="00CB75DB" w:rsidP="00CB75DB">
      <w:pPr>
        <w:keepNext/>
        <w:jc w:val="both"/>
        <w:outlineLvl w:val="7"/>
        <w:rPr>
          <w:rFonts w:ascii="Verdana" w:hAnsi="Verdana"/>
          <w:b/>
          <w:bCs/>
          <w:color w:val="800000"/>
          <w:sz w:val="18"/>
          <w:szCs w:val="18"/>
          <w:lang w:val="es-ES_tradnl"/>
        </w:rPr>
      </w:pPr>
      <w:r w:rsidRPr="00CB75DB">
        <w:rPr>
          <w:rFonts w:ascii="Verdana" w:hAnsi="Verdana"/>
          <w:b/>
          <w:bCs/>
          <w:color w:val="800000"/>
          <w:sz w:val="18"/>
          <w:szCs w:val="18"/>
          <w:lang w:val="es-ES_tradnl"/>
        </w:rPr>
        <w:t xml:space="preserve">HASTA EL DÍA </w:t>
      </w:r>
      <w:r w:rsidR="00DF1F7F">
        <w:rPr>
          <w:rFonts w:ascii="Verdana" w:hAnsi="Verdana"/>
          <w:b/>
          <w:bCs/>
          <w:color w:val="800000"/>
          <w:sz w:val="18"/>
          <w:szCs w:val="18"/>
          <w:lang w:val="es-ES_tradnl"/>
        </w:rPr>
        <w:t>30</w:t>
      </w:r>
      <w:r w:rsidRPr="00CB75DB">
        <w:rPr>
          <w:rFonts w:ascii="Verdana" w:hAnsi="Verdana"/>
          <w:b/>
          <w:bCs/>
          <w:color w:val="800000"/>
          <w:sz w:val="18"/>
          <w:szCs w:val="18"/>
          <w:lang w:val="es-ES_tradnl"/>
        </w:rPr>
        <w:t xml:space="preserve"> DE </w:t>
      </w:r>
      <w:r w:rsidR="00DF1F7F">
        <w:rPr>
          <w:rFonts w:ascii="Verdana" w:hAnsi="Verdana"/>
          <w:b/>
          <w:bCs/>
          <w:color w:val="800000"/>
          <w:sz w:val="18"/>
          <w:szCs w:val="18"/>
          <w:lang w:val="es-ES_tradnl"/>
        </w:rPr>
        <w:t>SEPTIEMBRE</w:t>
      </w:r>
    </w:p>
    <w:p w14:paraId="789935BD" w14:textId="77777777" w:rsidR="008A4864" w:rsidRPr="00D66413" w:rsidRDefault="008A4864" w:rsidP="008A4864">
      <w:pPr>
        <w:rPr>
          <w:rFonts w:ascii="Verdana" w:hAnsi="Verdana"/>
          <w:b/>
          <w:bCs/>
          <w:color w:val="800000"/>
          <w:sz w:val="18"/>
          <w:szCs w:val="18"/>
        </w:rPr>
      </w:pPr>
      <w:r w:rsidRPr="00D66413">
        <w:rPr>
          <w:rFonts w:ascii="Verdana" w:hAnsi="Verdana"/>
          <w:b/>
          <w:bCs/>
          <w:color w:val="800000"/>
          <w:sz w:val="18"/>
          <w:szCs w:val="18"/>
        </w:rPr>
        <w:t>Impuesto sobre el Valor Añadido</w:t>
      </w:r>
    </w:p>
    <w:p w14:paraId="28AF9C7B" w14:textId="774F70B1" w:rsidR="00CB75DB" w:rsidRPr="00D66413" w:rsidRDefault="00CB75DB" w:rsidP="00CB75DB">
      <w:pPr>
        <w:numPr>
          <w:ilvl w:val="0"/>
          <w:numId w:val="1"/>
        </w:numPr>
        <w:jc w:val="both"/>
        <w:rPr>
          <w:rFonts w:ascii="Verdana" w:hAnsi="Verdana"/>
          <w:sz w:val="18"/>
          <w:szCs w:val="18"/>
          <w:lang w:val="es-ES_tradnl"/>
        </w:rPr>
      </w:pPr>
      <w:r>
        <w:rPr>
          <w:rFonts w:ascii="Verdana" w:hAnsi="Verdana"/>
          <w:sz w:val="18"/>
          <w:szCs w:val="18"/>
          <w:lang w:val="es-ES_tradnl"/>
        </w:rPr>
        <w:t>Agosto</w:t>
      </w:r>
      <w:r w:rsidRPr="00D66413">
        <w:rPr>
          <w:rFonts w:ascii="Verdana" w:hAnsi="Verdana"/>
          <w:sz w:val="18"/>
          <w:szCs w:val="18"/>
          <w:lang w:val="es-ES_tradnl"/>
        </w:rPr>
        <w:t xml:space="preserve"> </w:t>
      </w:r>
      <w:r w:rsidR="00753E93">
        <w:rPr>
          <w:rFonts w:ascii="Verdana" w:hAnsi="Verdana"/>
          <w:sz w:val="18"/>
          <w:szCs w:val="18"/>
          <w:lang w:val="es-ES_tradnl"/>
        </w:rPr>
        <w:t>2020</w:t>
      </w:r>
      <w:r w:rsidRPr="00D66413">
        <w:rPr>
          <w:rFonts w:ascii="Verdana" w:hAnsi="Verdana"/>
          <w:sz w:val="18"/>
          <w:szCs w:val="18"/>
          <w:lang w:val="es-ES_tradnl"/>
        </w:rPr>
        <w:t>. Autoliquidación. Modelo 303.</w:t>
      </w:r>
    </w:p>
    <w:p w14:paraId="7412E83B" w14:textId="37CB177E" w:rsidR="00CB75DB" w:rsidRDefault="00CB75DB" w:rsidP="00CB75DB">
      <w:pPr>
        <w:numPr>
          <w:ilvl w:val="0"/>
          <w:numId w:val="1"/>
        </w:numPr>
        <w:jc w:val="both"/>
        <w:rPr>
          <w:rFonts w:ascii="Verdana" w:hAnsi="Verdana"/>
          <w:sz w:val="18"/>
          <w:szCs w:val="18"/>
          <w:lang w:val="es-ES_tradnl"/>
        </w:rPr>
      </w:pPr>
      <w:r>
        <w:rPr>
          <w:rFonts w:ascii="Verdana" w:hAnsi="Verdana"/>
          <w:sz w:val="18"/>
          <w:szCs w:val="18"/>
          <w:lang w:val="es-ES_tradnl"/>
        </w:rPr>
        <w:t>Agosto</w:t>
      </w:r>
      <w:r w:rsidRPr="00D66413">
        <w:rPr>
          <w:rFonts w:ascii="Verdana" w:hAnsi="Verdana"/>
          <w:sz w:val="18"/>
          <w:szCs w:val="18"/>
          <w:lang w:val="es-ES_tradnl"/>
        </w:rPr>
        <w:t xml:space="preserve"> </w:t>
      </w:r>
      <w:r w:rsidR="00753E93">
        <w:rPr>
          <w:rFonts w:ascii="Verdana" w:hAnsi="Verdana"/>
          <w:sz w:val="18"/>
          <w:szCs w:val="18"/>
          <w:lang w:val="es-ES_tradnl"/>
        </w:rPr>
        <w:t>2020</w:t>
      </w:r>
      <w:r w:rsidRPr="00D66413">
        <w:rPr>
          <w:rFonts w:ascii="Verdana" w:hAnsi="Verdana"/>
          <w:sz w:val="18"/>
          <w:szCs w:val="18"/>
          <w:lang w:val="es-ES_tradnl"/>
        </w:rPr>
        <w:t>. Grupo de entidades, modelo individual. Modelo 322.</w:t>
      </w:r>
    </w:p>
    <w:p w14:paraId="14641F90" w14:textId="1205C069" w:rsidR="00CB75DB" w:rsidRDefault="00CB75DB" w:rsidP="00CB75DB">
      <w:pPr>
        <w:numPr>
          <w:ilvl w:val="0"/>
          <w:numId w:val="1"/>
        </w:numPr>
        <w:jc w:val="both"/>
        <w:rPr>
          <w:rFonts w:ascii="Verdana" w:hAnsi="Verdana"/>
          <w:sz w:val="18"/>
          <w:szCs w:val="18"/>
          <w:lang w:val="es-ES_tradnl"/>
        </w:rPr>
      </w:pPr>
      <w:r>
        <w:rPr>
          <w:rFonts w:ascii="Verdana" w:hAnsi="Verdana"/>
          <w:sz w:val="18"/>
          <w:szCs w:val="18"/>
          <w:lang w:val="es-ES_tradnl"/>
        </w:rPr>
        <w:lastRenderedPageBreak/>
        <w:t>Agosto</w:t>
      </w:r>
      <w:r w:rsidRPr="00D66413">
        <w:rPr>
          <w:rFonts w:ascii="Verdana" w:hAnsi="Verdana"/>
          <w:sz w:val="18"/>
          <w:szCs w:val="18"/>
          <w:lang w:val="es-ES_tradnl"/>
        </w:rPr>
        <w:t xml:space="preserve"> </w:t>
      </w:r>
      <w:r w:rsidR="00753E93">
        <w:rPr>
          <w:rFonts w:ascii="Verdana" w:hAnsi="Verdana"/>
          <w:sz w:val="18"/>
          <w:szCs w:val="18"/>
          <w:lang w:val="es-ES_tradnl"/>
        </w:rPr>
        <w:t>2020</w:t>
      </w:r>
      <w:r w:rsidRPr="00D66413">
        <w:rPr>
          <w:rFonts w:ascii="Verdana" w:hAnsi="Verdana"/>
          <w:sz w:val="18"/>
          <w:szCs w:val="18"/>
          <w:lang w:val="es-ES_tradnl"/>
        </w:rPr>
        <w:t>. Grupo de entidades, modelo agregado. Modelo 353.</w:t>
      </w:r>
    </w:p>
    <w:p w14:paraId="6FBB1599" w14:textId="77777777" w:rsidR="004C188A" w:rsidRDefault="004C188A" w:rsidP="004C188A">
      <w:pPr>
        <w:jc w:val="both"/>
        <w:rPr>
          <w:rFonts w:ascii="Verdana" w:hAnsi="Verdana"/>
          <w:sz w:val="18"/>
          <w:szCs w:val="18"/>
          <w:lang w:val="es-ES_tradnl"/>
        </w:rPr>
      </w:pPr>
    </w:p>
    <w:p w14:paraId="3DDAE093" w14:textId="77777777" w:rsidR="004C188A" w:rsidRDefault="004C188A" w:rsidP="004C188A">
      <w:pPr>
        <w:rPr>
          <w:rFonts w:ascii="Verdana" w:hAnsi="Verdana"/>
          <w:b/>
          <w:bCs/>
          <w:color w:val="800000"/>
          <w:sz w:val="18"/>
          <w:szCs w:val="18"/>
        </w:rPr>
      </w:pPr>
      <w:r w:rsidRPr="00D66413">
        <w:rPr>
          <w:rFonts w:ascii="Verdana" w:hAnsi="Verdana"/>
          <w:b/>
          <w:bCs/>
          <w:color w:val="800000"/>
          <w:sz w:val="18"/>
          <w:szCs w:val="18"/>
        </w:rPr>
        <w:t xml:space="preserve">Impuesto General Indirecto Canario </w:t>
      </w:r>
    </w:p>
    <w:p w14:paraId="027E138F" w14:textId="4C0DC4E2" w:rsidR="004C188A" w:rsidRPr="004C188A" w:rsidRDefault="004C188A" w:rsidP="004C188A">
      <w:pPr>
        <w:jc w:val="both"/>
        <w:rPr>
          <w:rFonts w:ascii="Verdana" w:hAnsi="Verdana"/>
          <w:sz w:val="18"/>
          <w:szCs w:val="18"/>
        </w:rPr>
      </w:pPr>
      <w:r w:rsidRPr="004C188A">
        <w:rPr>
          <w:rFonts w:ascii="Verdana" w:hAnsi="Verdana"/>
          <w:sz w:val="18"/>
          <w:szCs w:val="18"/>
        </w:rPr>
        <w:t xml:space="preserve">* Mes de </w:t>
      </w:r>
      <w:r>
        <w:rPr>
          <w:rFonts w:ascii="Verdana" w:hAnsi="Verdana"/>
          <w:sz w:val="18"/>
          <w:szCs w:val="18"/>
        </w:rPr>
        <w:t>Agosto</w:t>
      </w:r>
      <w:r w:rsidRPr="004C188A">
        <w:rPr>
          <w:rFonts w:ascii="Verdana" w:hAnsi="Verdana"/>
          <w:sz w:val="18"/>
          <w:szCs w:val="18"/>
        </w:rPr>
        <w:t>. Autoliquidación. Modelo 412.</w:t>
      </w:r>
    </w:p>
    <w:p w14:paraId="39C108A7" w14:textId="07B0C466" w:rsidR="004C188A" w:rsidRPr="004C188A" w:rsidRDefault="004C188A" w:rsidP="004C188A">
      <w:pPr>
        <w:jc w:val="both"/>
        <w:rPr>
          <w:rFonts w:ascii="Verdana" w:hAnsi="Verdana"/>
          <w:sz w:val="18"/>
          <w:szCs w:val="18"/>
        </w:rPr>
      </w:pPr>
      <w:r w:rsidRPr="004C188A">
        <w:rPr>
          <w:rFonts w:ascii="Verdana" w:hAnsi="Verdana"/>
          <w:sz w:val="18"/>
          <w:szCs w:val="18"/>
        </w:rPr>
        <w:t xml:space="preserve">* Mes de </w:t>
      </w:r>
      <w:r>
        <w:rPr>
          <w:rFonts w:ascii="Verdana" w:hAnsi="Verdana"/>
          <w:sz w:val="18"/>
          <w:szCs w:val="18"/>
        </w:rPr>
        <w:t>Agosto</w:t>
      </w:r>
      <w:r w:rsidRPr="004C188A">
        <w:rPr>
          <w:rFonts w:ascii="Verdana" w:hAnsi="Verdana"/>
          <w:sz w:val="18"/>
          <w:szCs w:val="18"/>
        </w:rPr>
        <w:t>. Autoliquidación Suministro Inmediato de Información. Modelo 417.</w:t>
      </w:r>
    </w:p>
    <w:p w14:paraId="3D75AEE2" w14:textId="612EEEB7" w:rsidR="004C188A" w:rsidRPr="004C188A" w:rsidRDefault="004C188A" w:rsidP="004C188A">
      <w:pPr>
        <w:jc w:val="both"/>
        <w:rPr>
          <w:rFonts w:ascii="Verdana" w:hAnsi="Verdana"/>
          <w:sz w:val="18"/>
          <w:szCs w:val="18"/>
        </w:rPr>
      </w:pPr>
      <w:r w:rsidRPr="004C188A">
        <w:rPr>
          <w:rFonts w:ascii="Verdana" w:hAnsi="Verdana"/>
          <w:sz w:val="18"/>
          <w:szCs w:val="18"/>
        </w:rPr>
        <w:t xml:space="preserve">* Mes de </w:t>
      </w:r>
      <w:r>
        <w:rPr>
          <w:rFonts w:ascii="Verdana" w:hAnsi="Verdana"/>
          <w:sz w:val="18"/>
          <w:szCs w:val="18"/>
        </w:rPr>
        <w:t>Agosto</w:t>
      </w:r>
      <w:r w:rsidRPr="004C188A">
        <w:rPr>
          <w:rFonts w:ascii="Verdana" w:hAnsi="Verdana"/>
          <w:sz w:val="18"/>
          <w:szCs w:val="18"/>
        </w:rPr>
        <w:t>. Régimen especial del grupo de entidades. Modelo 418.</w:t>
      </w:r>
    </w:p>
    <w:p w14:paraId="7CE89D5E" w14:textId="7C733C01" w:rsidR="004C188A" w:rsidRDefault="004C188A" w:rsidP="004C188A">
      <w:pPr>
        <w:jc w:val="both"/>
        <w:rPr>
          <w:rFonts w:ascii="Verdana" w:hAnsi="Verdana"/>
          <w:sz w:val="18"/>
          <w:szCs w:val="18"/>
        </w:rPr>
      </w:pPr>
      <w:r w:rsidRPr="004C188A">
        <w:rPr>
          <w:rFonts w:ascii="Verdana" w:hAnsi="Verdana"/>
          <w:sz w:val="18"/>
          <w:szCs w:val="18"/>
        </w:rPr>
        <w:t xml:space="preserve">* Mes de </w:t>
      </w:r>
      <w:r>
        <w:rPr>
          <w:rFonts w:ascii="Verdana" w:hAnsi="Verdana"/>
          <w:sz w:val="18"/>
          <w:szCs w:val="18"/>
        </w:rPr>
        <w:t>Agosto</w:t>
      </w:r>
      <w:r w:rsidRPr="004C188A">
        <w:rPr>
          <w:rFonts w:ascii="Verdana" w:hAnsi="Verdana"/>
          <w:sz w:val="18"/>
          <w:szCs w:val="18"/>
        </w:rPr>
        <w:t>. Régimen especial del grupo de entidades. Modelo 419.</w:t>
      </w:r>
    </w:p>
    <w:p w14:paraId="60B5F6A2" w14:textId="77777777" w:rsidR="004C188A" w:rsidRPr="00D66413" w:rsidRDefault="004C188A" w:rsidP="004C188A">
      <w:pPr>
        <w:jc w:val="both"/>
        <w:rPr>
          <w:rFonts w:ascii="Verdana" w:hAnsi="Verdana"/>
          <w:sz w:val="18"/>
          <w:szCs w:val="18"/>
        </w:rPr>
      </w:pPr>
    </w:p>
    <w:p w14:paraId="02EA2BF1" w14:textId="77777777" w:rsidR="004C188A" w:rsidRPr="00D66413" w:rsidRDefault="004C188A" w:rsidP="004C188A">
      <w:pPr>
        <w:rPr>
          <w:rFonts w:ascii="Verdana" w:hAnsi="Verdana"/>
          <w:b/>
          <w:bCs/>
          <w:color w:val="800000"/>
          <w:sz w:val="18"/>
          <w:szCs w:val="18"/>
        </w:rPr>
      </w:pPr>
      <w:r w:rsidRPr="00D66413">
        <w:rPr>
          <w:rFonts w:ascii="Verdana" w:hAnsi="Verdana"/>
          <w:b/>
          <w:bCs/>
          <w:color w:val="800000"/>
          <w:sz w:val="18"/>
          <w:szCs w:val="18"/>
        </w:rPr>
        <w:t>Impuestos sobre las Labores del Tabaco (Canarias)</w:t>
      </w:r>
    </w:p>
    <w:p w14:paraId="6CA47BB7" w14:textId="11E6C809" w:rsidR="004C188A" w:rsidRPr="00D66413" w:rsidRDefault="004C188A" w:rsidP="004C188A">
      <w:pPr>
        <w:numPr>
          <w:ilvl w:val="0"/>
          <w:numId w:val="5"/>
        </w:numPr>
        <w:jc w:val="both"/>
        <w:rPr>
          <w:rFonts w:ascii="Verdana" w:hAnsi="Verdana"/>
          <w:sz w:val="18"/>
          <w:szCs w:val="18"/>
        </w:rPr>
      </w:pPr>
      <w:r w:rsidRPr="00D66413">
        <w:rPr>
          <w:rFonts w:ascii="Verdana" w:hAnsi="Verdana"/>
          <w:sz w:val="18"/>
          <w:szCs w:val="18"/>
        </w:rPr>
        <w:t>Autoliquidación correspondiente a</w:t>
      </w:r>
      <w:r>
        <w:rPr>
          <w:rFonts w:ascii="Verdana" w:hAnsi="Verdana"/>
          <w:sz w:val="18"/>
          <w:szCs w:val="18"/>
        </w:rPr>
        <w:t xml:space="preserve">l </w:t>
      </w:r>
      <w:r w:rsidRPr="00D66413">
        <w:rPr>
          <w:rFonts w:ascii="Verdana" w:hAnsi="Verdana"/>
          <w:sz w:val="18"/>
          <w:szCs w:val="18"/>
        </w:rPr>
        <w:t xml:space="preserve">mes de </w:t>
      </w:r>
      <w:proofErr w:type="gramStart"/>
      <w:r w:rsidR="005644E8">
        <w:rPr>
          <w:rFonts w:ascii="Verdana" w:hAnsi="Verdana"/>
          <w:sz w:val="18"/>
          <w:szCs w:val="18"/>
        </w:rPr>
        <w:t>A</w:t>
      </w:r>
      <w:r>
        <w:rPr>
          <w:rFonts w:ascii="Verdana" w:hAnsi="Verdana"/>
          <w:sz w:val="18"/>
          <w:szCs w:val="18"/>
        </w:rPr>
        <w:t>gosto</w:t>
      </w:r>
      <w:proofErr w:type="gramEnd"/>
      <w:r w:rsidRPr="00D66413">
        <w:rPr>
          <w:rFonts w:ascii="Verdana" w:hAnsi="Verdana"/>
          <w:sz w:val="18"/>
          <w:szCs w:val="18"/>
        </w:rPr>
        <w:t>. Modelo 460.</w:t>
      </w:r>
    </w:p>
    <w:p w14:paraId="7D2AFA0A" w14:textId="2CEC94CD" w:rsidR="004C188A" w:rsidRDefault="004C188A" w:rsidP="004C188A">
      <w:pPr>
        <w:numPr>
          <w:ilvl w:val="0"/>
          <w:numId w:val="5"/>
        </w:numPr>
        <w:jc w:val="both"/>
        <w:rPr>
          <w:rFonts w:ascii="Verdana" w:hAnsi="Verdana"/>
          <w:sz w:val="18"/>
          <w:szCs w:val="18"/>
        </w:rPr>
      </w:pPr>
      <w:r w:rsidRPr="00D66413">
        <w:rPr>
          <w:rFonts w:ascii="Verdana" w:hAnsi="Verdana"/>
          <w:sz w:val="18"/>
          <w:szCs w:val="18"/>
        </w:rPr>
        <w:t xml:space="preserve">Declaración de operaciones accesorias al modelo 460 correspondiente </w:t>
      </w:r>
      <w:r>
        <w:rPr>
          <w:rFonts w:ascii="Verdana" w:hAnsi="Verdana"/>
          <w:sz w:val="18"/>
          <w:szCs w:val="18"/>
        </w:rPr>
        <w:t xml:space="preserve">al </w:t>
      </w:r>
      <w:r w:rsidRPr="00D66413">
        <w:rPr>
          <w:rFonts w:ascii="Verdana" w:hAnsi="Verdana"/>
          <w:sz w:val="18"/>
          <w:szCs w:val="18"/>
        </w:rPr>
        <w:t xml:space="preserve">mes de </w:t>
      </w:r>
      <w:proofErr w:type="gramStart"/>
      <w:r w:rsidR="005644E8">
        <w:rPr>
          <w:rFonts w:ascii="Verdana" w:hAnsi="Verdana"/>
          <w:sz w:val="18"/>
          <w:szCs w:val="18"/>
        </w:rPr>
        <w:t>A</w:t>
      </w:r>
      <w:r w:rsidR="00753198">
        <w:rPr>
          <w:rFonts w:ascii="Verdana" w:hAnsi="Verdana"/>
          <w:sz w:val="18"/>
          <w:szCs w:val="18"/>
        </w:rPr>
        <w:t>gosto</w:t>
      </w:r>
      <w:proofErr w:type="gramEnd"/>
      <w:r w:rsidRPr="00D66413">
        <w:rPr>
          <w:rFonts w:ascii="Verdana" w:hAnsi="Verdana"/>
          <w:sz w:val="18"/>
          <w:szCs w:val="18"/>
        </w:rPr>
        <w:t>. Modelo 461.</w:t>
      </w:r>
    </w:p>
    <w:p w14:paraId="32B39252" w14:textId="4B4F9BBC" w:rsidR="00753198" w:rsidRDefault="00753198" w:rsidP="004C188A">
      <w:pPr>
        <w:numPr>
          <w:ilvl w:val="0"/>
          <w:numId w:val="5"/>
        </w:numPr>
        <w:jc w:val="both"/>
        <w:rPr>
          <w:rFonts w:ascii="Verdana" w:hAnsi="Verdana"/>
          <w:sz w:val="18"/>
          <w:szCs w:val="18"/>
        </w:rPr>
      </w:pPr>
      <w:r>
        <w:rPr>
          <w:rFonts w:ascii="Verdana" w:hAnsi="Verdana"/>
          <w:sz w:val="18"/>
          <w:szCs w:val="18"/>
        </w:rPr>
        <w:t xml:space="preserve">Comunicación de los precios medios ponderados de venta real mes de </w:t>
      </w:r>
      <w:proofErr w:type="gramStart"/>
      <w:r w:rsidR="005644E8">
        <w:rPr>
          <w:rFonts w:ascii="Verdana" w:hAnsi="Verdana"/>
          <w:sz w:val="18"/>
          <w:szCs w:val="18"/>
        </w:rPr>
        <w:t>A</w:t>
      </w:r>
      <w:r>
        <w:rPr>
          <w:rFonts w:ascii="Verdana" w:hAnsi="Verdana"/>
          <w:sz w:val="18"/>
          <w:szCs w:val="18"/>
        </w:rPr>
        <w:t>gosto</w:t>
      </w:r>
      <w:proofErr w:type="gramEnd"/>
      <w:r>
        <w:rPr>
          <w:rFonts w:ascii="Verdana" w:hAnsi="Verdana"/>
          <w:sz w:val="18"/>
          <w:szCs w:val="18"/>
        </w:rPr>
        <w:t>. Modelo 468.</w:t>
      </w:r>
    </w:p>
    <w:p w14:paraId="74C74B3D" w14:textId="77777777" w:rsidR="004C188A" w:rsidRDefault="004C188A" w:rsidP="004C188A">
      <w:pPr>
        <w:jc w:val="both"/>
        <w:rPr>
          <w:rFonts w:ascii="Verdana" w:hAnsi="Verdana"/>
          <w:sz w:val="18"/>
          <w:szCs w:val="18"/>
        </w:rPr>
      </w:pPr>
    </w:p>
    <w:p w14:paraId="1C9E5BDF" w14:textId="77777777" w:rsidR="004C188A" w:rsidRPr="006C2B81" w:rsidRDefault="004C188A" w:rsidP="004C188A">
      <w:pPr>
        <w:rPr>
          <w:rFonts w:ascii="Verdana" w:hAnsi="Verdana"/>
          <w:b/>
          <w:bCs/>
          <w:color w:val="800000"/>
          <w:sz w:val="18"/>
          <w:szCs w:val="18"/>
        </w:rPr>
      </w:pPr>
      <w:r w:rsidRPr="006C2B81">
        <w:rPr>
          <w:rFonts w:ascii="Verdana" w:hAnsi="Verdana"/>
          <w:b/>
          <w:bCs/>
          <w:color w:val="800000"/>
          <w:sz w:val="18"/>
          <w:szCs w:val="18"/>
        </w:rPr>
        <w:t>Impuesto Especial sobre Combustibles derivados del Petróleo (Canarias)</w:t>
      </w:r>
    </w:p>
    <w:p w14:paraId="02374578" w14:textId="4244976B" w:rsidR="004C188A" w:rsidRPr="00D66413" w:rsidRDefault="004C188A" w:rsidP="004C188A">
      <w:pPr>
        <w:numPr>
          <w:ilvl w:val="0"/>
          <w:numId w:val="5"/>
        </w:numPr>
        <w:jc w:val="both"/>
        <w:rPr>
          <w:rFonts w:ascii="Verdana" w:hAnsi="Verdana"/>
          <w:sz w:val="18"/>
          <w:szCs w:val="18"/>
        </w:rPr>
      </w:pPr>
      <w:r>
        <w:rPr>
          <w:rFonts w:ascii="Verdana" w:hAnsi="Verdana"/>
          <w:sz w:val="18"/>
          <w:szCs w:val="18"/>
        </w:rPr>
        <w:t xml:space="preserve">Régimen general. Mes de </w:t>
      </w:r>
      <w:r w:rsidR="005644E8">
        <w:rPr>
          <w:rFonts w:ascii="Verdana" w:hAnsi="Verdana"/>
          <w:sz w:val="18"/>
          <w:szCs w:val="18"/>
        </w:rPr>
        <w:t>A</w:t>
      </w:r>
      <w:r>
        <w:rPr>
          <w:rFonts w:ascii="Verdana" w:hAnsi="Verdana"/>
          <w:sz w:val="18"/>
          <w:szCs w:val="18"/>
        </w:rPr>
        <w:t>gosto</w:t>
      </w:r>
      <w:r w:rsidRPr="00D66413">
        <w:rPr>
          <w:rFonts w:ascii="Verdana" w:hAnsi="Verdana"/>
          <w:sz w:val="18"/>
          <w:szCs w:val="18"/>
        </w:rPr>
        <w:t>.</w:t>
      </w:r>
      <w:r>
        <w:rPr>
          <w:rFonts w:ascii="Verdana" w:hAnsi="Verdana"/>
          <w:sz w:val="18"/>
          <w:szCs w:val="18"/>
        </w:rPr>
        <w:t xml:space="preserve"> Modelo 430.</w:t>
      </w:r>
    </w:p>
    <w:p w14:paraId="77387E13" w14:textId="77777777" w:rsidR="004C188A" w:rsidRPr="00D66413" w:rsidRDefault="004C188A" w:rsidP="004C188A">
      <w:pPr>
        <w:jc w:val="both"/>
        <w:rPr>
          <w:rFonts w:ascii="Verdana" w:hAnsi="Verdana"/>
          <w:sz w:val="18"/>
          <w:szCs w:val="18"/>
          <w:lang w:val="es-ES_tradnl"/>
        </w:rPr>
      </w:pPr>
    </w:p>
    <w:p w14:paraId="601BA22A" w14:textId="77777777" w:rsidR="00CB75DB" w:rsidRPr="00D66413" w:rsidRDefault="00CB75DB" w:rsidP="002003E0">
      <w:pPr>
        <w:jc w:val="both"/>
        <w:rPr>
          <w:rFonts w:ascii="Verdana" w:hAnsi="Verdana"/>
          <w:b/>
          <w:sz w:val="18"/>
          <w:szCs w:val="18"/>
          <w:lang w:val="es-ES_tradnl"/>
        </w:rPr>
      </w:pPr>
    </w:p>
    <w:sectPr w:rsidR="00CB75DB" w:rsidRPr="00D66413" w:rsidSect="00A506EF">
      <w:pgSz w:w="11906" w:h="16838"/>
      <w:pgMar w:top="3261" w:right="1701" w:bottom="15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6D11E" w14:textId="77777777" w:rsidR="00214042" w:rsidRDefault="00214042">
      <w:r>
        <w:separator/>
      </w:r>
    </w:p>
  </w:endnote>
  <w:endnote w:type="continuationSeparator" w:id="0">
    <w:p w14:paraId="61C7B5E7" w14:textId="77777777" w:rsidR="00214042" w:rsidRDefault="0021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______Frutiger-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89759" w14:textId="77777777" w:rsidR="00214042" w:rsidRDefault="00214042">
      <w:r>
        <w:separator/>
      </w:r>
    </w:p>
  </w:footnote>
  <w:footnote w:type="continuationSeparator" w:id="0">
    <w:p w14:paraId="5C9D571F" w14:textId="77777777" w:rsidR="00214042" w:rsidRDefault="0021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348E0B4"/>
    <w:lvl w:ilvl="0">
      <w:numFmt w:val="decimal"/>
      <w:lvlText w:val="*"/>
      <w:lvlJc w:val="left"/>
    </w:lvl>
  </w:abstractNum>
  <w:abstractNum w:abstractNumId="1" w15:restartNumberingAfterBreak="0">
    <w:nsid w:val="06E5259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88C24CE"/>
    <w:multiLevelType w:val="hybridMultilevel"/>
    <w:tmpl w:val="13ACFA38"/>
    <w:lvl w:ilvl="0" w:tplc="F7E80D4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26F553D"/>
    <w:multiLevelType w:val="hybridMultilevel"/>
    <w:tmpl w:val="9AF6539E"/>
    <w:lvl w:ilvl="0" w:tplc="0C0A001B">
      <w:start w:val="1"/>
      <w:numFmt w:val="lowerRoman"/>
      <w:lvlText w:val="%1."/>
      <w:lvlJc w:val="righ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7F6F19"/>
    <w:multiLevelType w:val="hybridMultilevel"/>
    <w:tmpl w:val="676ABD86"/>
    <w:lvl w:ilvl="0" w:tplc="15DE2C4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97D7C02"/>
    <w:multiLevelType w:val="hybridMultilevel"/>
    <w:tmpl w:val="2E284400"/>
    <w:lvl w:ilvl="0" w:tplc="38D2235C">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1D5F0E0D"/>
    <w:multiLevelType w:val="multilevel"/>
    <w:tmpl w:val="998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27D8E"/>
    <w:multiLevelType w:val="hybridMultilevel"/>
    <w:tmpl w:val="0472F3F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8" w15:restartNumberingAfterBreak="0">
    <w:nsid w:val="20935118"/>
    <w:multiLevelType w:val="hybridMultilevel"/>
    <w:tmpl w:val="A27850E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22420535"/>
    <w:multiLevelType w:val="hybridMultilevel"/>
    <w:tmpl w:val="FF0ADA7C"/>
    <w:lvl w:ilvl="0" w:tplc="38D2235C">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28B55723"/>
    <w:multiLevelType w:val="multilevel"/>
    <w:tmpl w:val="5A2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E0454"/>
    <w:multiLevelType w:val="multilevel"/>
    <w:tmpl w:val="944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403C3"/>
    <w:multiLevelType w:val="hybridMultilevel"/>
    <w:tmpl w:val="0C8E26E2"/>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3" w15:restartNumberingAfterBreak="0">
    <w:nsid w:val="31024BE2"/>
    <w:multiLevelType w:val="hybridMultilevel"/>
    <w:tmpl w:val="2B5CF2DE"/>
    <w:lvl w:ilvl="0" w:tplc="66A682F4">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35A710F3"/>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5" w15:restartNumberingAfterBreak="0">
    <w:nsid w:val="38C52E46"/>
    <w:multiLevelType w:val="multilevel"/>
    <w:tmpl w:val="E2C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2EC"/>
    <w:multiLevelType w:val="hybridMultilevel"/>
    <w:tmpl w:val="82C07C3E"/>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CD31D1"/>
    <w:multiLevelType w:val="hybridMultilevel"/>
    <w:tmpl w:val="91E8EF18"/>
    <w:lvl w:ilvl="0" w:tplc="F7E80D42">
      <w:start w:val="1"/>
      <w:numFmt w:val="lowerLetter"/>
      <w:lvlText w:val="%1)"/>
      <w:lvlJc w:val="left"/>
      <w:pPr>
        <w:ind w:left="1070"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3E354276"/>
    <w:multiLevelType w:val="hybridMultilevel"/>
    <w:tmpl w:val="CDDC0E0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3FC34A92"/>
    <w:multiLevelType w:val="hybridMultilevel"/>
    <w:tmpl w:val="3FBEC914"/>
    <w:lvl w:ilvl="0" w:tplc="F7E80D4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375406"/>
    <w:multiLevelType w:val="multilevel"/>
    <w:tmpl w:val="78B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94D29"/>
    <w:multiLevelType w:val="multilevel"/>
    <w:tmpl w:val="A21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50055"/>
    <w:multiLevelType w:val="multilevel"/>
    <w:tmpl w:val="DA5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47038"/>
    <w:multiLevelType w:val="hybridMultilevel"/>
    <w:tmpl w:val="EDD0E3CA"/>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C5123B"/>
    <w:multiLevelType w:val="hybridMultilevel"/>
    <w:tmpl w:val="3A122564"/>
    <w:lvl w:ilvl="0" w:tplc="A5EE04DE">
      <w:start w:val="1"/>
      <w:numFmt w:val="bullet"/>
      <w:lvlText w:val="-"/>
      <w:lvlJc w:val="left"/>
      <w:pPr>
        <w:ind w:left="1363" w:hanging="360"/>
      </w:pPr>
      <w:rPr>
        <w:rFonts w:ascii="Verdana" w:eastAsia="Times New Roman" w:hAnsi="Verdana" w:cs="Times New Roman" w:hint="default"/>
      </w:rPr>
    </w:lvl>
    <w:lvl w:ilvl="1" w:tplc="0C0A0003" w:tentative="1">
      <w:start w:val="1"/>
      <w:numFmt w:val="bullet"/>
      <w:lvlText w:val="o"/>
      <w:lvlJc w:val="left"/>
      <w:pPr>
        <w:ind w:left="2083" w:hanging="360"/>
      </w:pPr>
      <w:rPr>
        <w:rFonts w:ascii="Courier New" w:hAnsi="Courier New" w:cs="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cs="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cs="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25" w15:restartNumberingAfterBreak="0">
    <w:nsid w:val="59073679"/>
    <w:multiLevelType w:val="multilevel"/>
    <w:tmpl w:val="172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64CAD"/>
    <w:multiLevelType w:val="hybridMultilevel"/>
    <w:tmpl w:val="7654F40C"/>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2232642"/>
    <w:multiLevelType w:val="hybridMultilevel"/>
    <w:tmpl w:val="BAB8A63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4D809F9"/>
    <w:multiLevelType w:val="hybridMultilevel"/>
    <w:tmpl w:val="9880D322"/>
    <w:lvl w:ilvl="0" w:tplc="B560AD7A">
      <w:start w:val="2"/>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73933E2"/>
    <w:multiLevelType w:val="multilevel"/>
    <w:tmpl w:val="5582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827"/>
    <w:multiLevelType w:val="hybridMultilevel"/>
    <w:tmpl w:val="9CAE363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38D2235C">
      <w:start w:val="1"/>
      <w:numFmt w:val="lowerLetter"/>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0F">
      <w:start w:val="1"/>
      <w:numFmt w:val="decimal"/>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CEB31F3"/>
    <w:multiLevelType w:val="multilevel"/>
    <w:tmpl w:val="2C8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860B5"/>
    <w:multiLevelType w:val="hybridMultilevel"/>
    <w:tmpl w:val="31F4EAC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72823048"/>
    <w:multiLevelType w:val="hybridMultilevel"/>
    <w:tmpl w:val="E9AAA4D6"/>
    <w:lvl w:ilvl="0" w:tplc="38D2235C">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75855238"/>
    <w:multiLevelType w:val="multilevel"/>
    <w:tmpl w:val="DA0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131FA"/>
    <w:multiLevelType w:val="hybridMultilevel"/>
    <w:tmpl w:val="77EC1416"/>
    <w:lvl w:ilvl="0" w:tplc="BBD0B5AE">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6" w15:restartNumberingAfterBreak="0">
    <w:nsid w:val="77C47361"/>
    <w:multiLevelType w:val="hybridMultilevel"/>
    <w:tmpl w:val="42728580"/>
    <w:lvl w:ilvl="0" w:tplc="0C0A001B">
      <w:start w:val="1"/>
      <w:numFmt w:val="lowerRoman"/>
      <w:lvlText w:val="%1."/>
      <w:lvlJc w:val="righ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7" w15:restartNumberingAfterBreak="0">
    <w:nsid w:val="783F5A99"/>
    <w:multiLevelType w:val="hybridMultilevel"/>
    <w:tmpl w:val="C1462AC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A06A1A"/>
    <w:multiLevelType w:val="hybridMultilevel"/>
    <w:tmpl w:val="04A8F714"/>
    <w:lvl w:ilvl="0" w:tplc="B3D237E6">
      <w:start w:val="2"/>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23"/>
  </w:num>
  <w:num w:numId="4">
    <w:abstractNumId w:val="1"/>
  </w:num>
  <w:num w:numId="5">
    <w:abstractNumId w:val="14"/>
  </w:num>
  <w:num w:numId="6">
    <w:abstractNumId w:val="0"/>
    <w:lvlOverride w:ilvl="0">
      <w:lvl w:ilvl="0">
        <w:start w:val="1"/>
        <w:numFmt w:val="bullet"/>
        <w:lvlText w:val=""/>
        <w:lvlJc w:val="left"/>
        <w:pPr>
          <w:ind w:left="720" w:hanging="360"/>
        </w:pPr>
        <w:rPr>
          <w:rFonts w:ascii="Symbol" w:hAnsi="Symbol" w:hint="default"/>
        </w:rPr>
      </w:lvl>
    </w:lvlOverride>
  </w:num>
  <w:num w:numId="7">
    <w:abstractNumId w:val="13"/>
  </w:num>
  <w:num w:numId="8">
    <w:abstractNumId w:val="36"/>
  </w:num>
  <w:num w:numId="9">
    <w:abstractNumId w:val="37"/>
  </w:num>
  <w:num w:numId="10">
    <w:abstractNumId w:val="3"/>
  </w:num>
  <w:num w:numId="11">
    <w:abstractNumId w:val="24"/>
  </w:num>
  <w:num w:numId="12">
    <w:abstractNumId w:val="9"/>
  </w:num>
  <w:num w:numId="13">
    <w:abstractNumId w:val="5"/>
  </w:num>
  <w:num w:numId="14">
    <w:abstractNumId w:val="33"/>
  </w:num>
  <w:num w:numId="15">
    <w:abstractNumId w:val="26"/>
  </w:num>
  <w:num w:numId="16">
    <w:abstractNumId w:val="27"/>
  </w:num>
  <w:num w:numId="17">
    <w:abstractNumId w:val="28"/>
  </w:num>
  <w:num w:numId="18">
    <w:abstractNumId w:val="4"/>
  </w:num>
  <w:num w:numId="19">
    <w:abstractNumId w:val="19"/>
  </w:num>
  <w:num w:numId="20">
    <w:abstractNumId w:val="18"/>
  </w:num>
  <w:num w:numId="21">
    <w:abstractNumId w:val="2"/>
  </w:num>
  <w:num w:numId="22">
    <w:abstractNumId w:val="17"/>
  </w:num>
  <w:num w:numId="23">
    <w:abstractNumId w:val="31"/>
  </w:num>
  <w:num w:numId="24">
    <w:abstractNumId w:val="22"/>
  </w:num>
  <w:num w:numId="25">
    <w:abstractNumId w:val="34"/>
  </w:num>
  <w:num w:numId="26">
    <w:abstractNumId w:val="11"/>
  </w:num>
  <w:num w:numId="27">
    <w:abstractNumId w:val="25"/>
  </w:num>
  <w:num w:numId="28">
    <w:abstractNumId w:val="15"/>
  </w:num>
  <w:num w:numId="29">
    <w:abstractNumId w:val="21"/>
  </w:num>
  <w:num w:numId="30">
    <w:abstractNumId w:val="38"/>
  </w:num>
  <w:num w:numId="31">
    <w:abstractNumId w:val="10"/>
  </w:num>
  <w:num w:numId="32">
    <w:abstractNumId w:val="29"/>
  </w:num>
  <w:num w:numId="33">
    <w:abstractNumId w:val="35"/>
  </w:num>
  <w:num w:numId="34">
    <w:abstractNumId w:val="16"/>
  </w:num>
  <w:num w:numId="35">
    <w:abstractNumId w:val="6"/>
  </w:num>
  <w:num w:numId="36">
    <w:abstractNumId w:val="20"/>
  </w:num>
  <w:num w:numId="37">
    <w:abstractNumId w:val="7"/>
  </w:num>
  <w:num w:numId="38">
    <w:abstractNumId w:val="8"/>
  </w:num>
  <w:num w:numId="39">
    <w:abstractNumId w:val="32"/>
  </w:num>
  <w:num w:numId="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7C"/>
    <w:rsid w:val="000019A3"/>
    <w:rsid w:val="000048F8"/>
    <w:rsid w:val="00005E9D"/>
    <w:rsid w:val="000105D9"/>
    <w:rsid w:val="000111E9"/>
    <w:rsid w:val="000112AD"/>
    <w:rsid w:val="00016BA2"/>
    <w:rsid w:val="00020E5D"/>
    <w:rsid w:val="00021C72"/>
    <w:rsid w:val="00023E00"/>
    <w:rsid w:val="00025324"/>
    <w:rsid w:val="000261BE"/>
    <w:rsid w:val="00026231"/>
    <w:rsid w:val="00026EC3"/>
    <w:rsid w:val="000270D2"/>
    <w:rsid w:val="00031FE0"/>
    <w:rsid w:val="00032064"/>
    <w:rsid w:val="00032128"/>
    <w:rsid w:val="000355BA"/>
    <w:rsid w:val="00035978"/>
    <w:rsid w:val="00035D45"/>
    <w:rsid w:val="00036454"/>
    <w:rsid w:val="0003655F"/>
    <w:rsid w:val="000456FC"/>
    <w:rsid w:val="000461DF"/>
    <w:rsid w:val="00050973"/>
    <w:rsid w:val="00051E40"/>
    <w:rsid w:val="000529D3"/>
    <w:rsid w:val="0005793E"/>
    <w:rsid w:val="00057B9E"/>
    <w:rsid w:val="000640D9"/>
    <w:rsid w:val="00066633"/>
    <w:rsid w:val="000714A7"/>
    <w:rsid w:val="00071B81"/>
    <w:rsid w:val="000737B7"/>
    <w:rsid w:val="000737DF"/>
    <w:rsid w:val="000739DE"/>
    <w:rsid w:val="00074F5B"/>
    <w:rsid w:val="00075B32"/>
    <w:rsid w:val="00083E8A"/>
    <w:rsid w:val="00086D10"/>
    <w:rsid w:val="00090253"/>
    <w:rsid w:val="00095D30"/>
    <w:rsid w:val="00096CEE"/>
    <w:rsid w:val="00097138"/>
    <w:rsid w:val="00097D6C"/>
    <w:rsid w:val="000A2F1B"/>
    <w:rsid w:val="000A3041"/>
    <w:rsid w:val="000A76BB"/>
    <w:rsid w:val="000B2913"/>
    <w:rsid w:val="000B3563"/>
    <w:rsid w:val="000B4058"/>
    <w:rsid w:val="000C04ED"/>
    <w:rsid w:val="000C0BEF"/>
    <w:rsid w:val="000C2F61"/>
    <w:rsid w:val="000C36D5"/>
    <w:rsid w:val="000C5732"/>
    <w:rsid w:val="000C5AF1"/>
    <w:rsid w:val="000D4C9E"/>
    <w:rsid w:val="000D6027"/>
    <w:rsid w:val="000D72A3"/>
    <w:rsid w:val="000E0EB5"/>
    <w:rsid w:val="000E44B9"/>
    <w:rsid w:val="000E7F33"/>
    <w:rsid w:val="000F367A"/>
    <w:rsid w:val="000F3F02"/>
    <w:rsid w:val="000F7529"/>
    <w:rsid w:val="00100879"/>
    <w:rsid w:val="00103BCE"/>
    <w:rsid w:val="00107AFC"/>
    <w:rsid w:val="001103A8"/>
    <w:rsid w:val="00110705"/>
    <w:rsid w:val="00114B70"/>
    <w:rsid w:val="00115348"/>
    <w:rsid w:val="0011554D"/>
    <w:rsid w:val="0011731F"/>
    <w:rsid w:val="00120318"/>
    <w:rsid w:val="001203B4"/>
    <w:rsid w:val="00123083"/>
    <w:rsid w:val="001233B1"/>
    <w:rsid w:val="00123D1D"/>
    <w:rsid w:val="0012576E"/>
    <w:rsid w:val="0013051E"/>
    <w:rsid w:val="00130B4F"/>
    <w:rsid w:val="001315CD"/>
    <w:rsid w:val="00131C82"/>
    <w:rsid w:val="001341CB"/>
    <w:rsid w:val="00134FC1"/>
    <w:rsid w:val="00137392"/>
    <w:rsid w:val="001432F9"/>
    <w:rsid w:val="001435F8"/>
    <w:rsid w:val="00144CA2"/>
    <w:rsid w:val="0014713B"/>
    <w:rsid w:val="0015101D"/>
    <w:rsid w:val="0015429F"/>
    <w:rsid w:val="00157210"/>
    <w:rsid w:val="001603D6"/>
    <w:rsid w:val="001645CA"/>
    <w:rsid w:val="00172D86"/>
    <w:rsid w:val="0017389A"/>
    <w:rsid w:val="001742E4"/>
    <w:rsid w:val="00176A58"/>
    <w:rsid w:val="001817C1"/>
    <w:rsid w:val="001821E9"/>
    <w:rsid w:val="00183AA8"/>
    <w:rsid w:val="0018518C"/>
    <w:rsid w:val="0019006D"/>
    <w:rsid w:val="00192C16"/>
    <w:rsid w:val="001941A2"/>
    <w:rsid w:val="00195C13"/>
    <w:rsid w:val="00195C41"/>
    <w:rsid w:val="001A38EA"/>
    <w:rsid w:val="001A5C73"/>
    <w:rsid w:val="001A6500"/>
    <w:rsid w:val="001A6C28"/>
    <w:rsid w:val="001B0479"/>
    <w:rsid w:val="001B13CD"/>
    <w:rsid w:val="001B1A90"/>
    <w:rsid w:val="001B4E5B"/>
    <w:rsid w:val="001B5B37"/>
    <w:rsid w:val="001B634A"/>
    <w:rsid w:val="001B76E9"/>
    <w:rsid w:val="001D1146"/>
    <w:rsid w:val="001D14E7"/>
    <w:rsid w:val="001D1EAB"/>
    <w:rsid w:val="001D37AA"/>
    <w:rsid w:val="001E3F60"/>
    <w:rsid w:val="001E4594"/>
    <w:rsid w:val="001E691A"/>
    <w:rsid w:val="001E705A"/>
    <w:rsid w:val="001F0738"/>
    <w:rsid w:val="001F3358"/>
    <w:rsid w:val="001F464C"/>
    <w:rsid w:val="001F46E2"/>
    <w:rsid w:val="001F5C21"/>
    <w:rsid w:val="001F6CB1"/>
    <w:rsid w:val="001F7FA0"/>
    <w:rsid w:val="002003E0"/>
    <w:rsid w:val="002005DD"/>
    <w:rsid w:val="00202157"/>
    <w:rsid w:val="00204314"/>
    <w:rsid w:val="00204CE3"/>
    <w:rsid w:val="002069A7"/>
    <w:rsid w:val="00207721"/>
    <w:rsid w:val="0021276C"/>
    <w:rsid w:val="00214042"/>
    <w:rsid w:val="00214A82"/>
    <w:rsid w:val="00217814"/>
    <w:rsid w:val="00217DBE"/>
    <w:rsid w:val="00217E93"/>
    <w:rsid w:val="00222127"/>
    <w:rsid w:val="00222442"/>
    <w:rsid w:val="00224A80"/>
    <w:rsid w:val="00224FB4"/>
    <w:rsid w:val="00232390"/>
    <w:rsid w:val="002330FD"/>
    <w:rsid w:val="00243BCD"/>
    <w:rsid w:val="00251B44"/>
    <w:rsid w:val="00252543"/>
    <w:rsid w:val="002526C4"/>
    <w:rsid w:val="00252DCE"/>
    <w:rsid w:val="00253E9D"/>
    <w:rsid w:val="00254E07"/>
    <w:rsid w:val="00267BD5"/>
    <w:rsid w:val="00270C9D"/>
    <w:rsid w:val="00271A56"/>
    <w:rsid w:val="0027427C"/>
    <w:rsid w:val="00274769"/>
    <w:rsid w:val="0027578F"/>
    <w:rsid w:val="00287458"/>
    <w:rsid w:val="00291D8D"/>
    <w:rsid w:val="002A1842"/>
    <w:rsid w:val="002A523B"/>
    <w:rsid w:val="002A6AD5"/>
    <w:rsid w:val="002A6BE4"/>
    <w:rsid w:val="002A793A"/>
    <w:rsid w:val="002A7D15"/>
    <w:rsid w:val="002B2B15"/>
    <w:rsid w:val="002B2E8D"/>
    <w:rsid w:val="002B3824"/>
    <w:rsid w:val="002B4864"/>
    <w:rsid w:val="002B4C69"/>
    <w:rsid w:val="002B55F1"/>
    <w:rsid w:val="002C046C"/>
    <w:rsid w:val="002C34AB"/>
    <w:rsid w:val="002C3B77"/>
    <w:rsid w:val="002C4CF4"/>
    <w:rsid w:val="002C5523"/>
    <w:rsid w:val="002C7E27"/>
    <w:rsid w:val="002D359C"/>
    <w:rsid w:val="002D6133"/>
    <w:rsid w:val="002D6A89"/>
    <w:rsid w:val="002E0861"/>
    <w:rsid w:val="002E0F75"/>
    <w:rsid w:val="002E31D3"/>
    <w:rsid w:val="002E43AB"/>
    <w:rsid w:val="002E7AA5"/>
    <w:rsid w:val="002F3780"/>
    <w:rsid w:val="002F3900"/>
    <w:rsid w:val="002F51BC"/>
    <w:rsid w:val="002F7246"/>
    <w:rsid w:val="002F78F5"/>
    <w:rsid w:val="003005B1"/>
    <w:rsid w:val="00300A06"/>
    <w:rsid w:val="00301745"/>
    <w:rsid w:val="00303C2F"/>
    <w:rsid w:val="0030662B"/>
    <w:rsid w:val="0030775E"/>
    <w:rsid w:val="00310548"/>
    <w:rsid w:val="00312BBB"/>
    <w:rsid w:val="00314D37"/>
    <w:rsid w:val="00314F4F"/>
    <w:rsid w:val="00320C7C"/>
    <w:rsid w:val="00321319"/>
    <w:rsid w:val="00321770"/>
    <w:rsid w:val="00325770"/>
    <w:rsid w:val="0032649B"/>
    <w:rsid w:val="00334F09"/>
    <w:rsid w:val="0034184C"/>
    <w:rsid w:val="003428D9"/>
    <w:rsid w:val="00342FA4"/>
    <w:rsid w:val="00343F39"/>
    <w:rsid w:val="003446C7"/>
    <w:rsid w:val="0034751A"/>
    <w:rsid w:val="00352E2F"/>
    <w:rsid w:val="00355640"/>
    <w:rsid w:val="00355A8F"/>
    <w:rsid w:val="003565A8"/>
    <w:rsid w:val="003576FF"/>
    <w:rsid w:val="00360014"/>
    <w:rsid w:val="00362FB3"/>
    <w:rsid w:val="00365511"/>
    <w:rsid w:val="003703C6"/>
    <w:rsid w:val="00372181"/>
    <w:rsid w:val="0038064F"/>
    <w:rsid w:val="00380C3A"/>
    <w:rsid w:val="003864B2"/>
    <w:rsid w:val="00386AF3"/>
    <w:rsid w:val="00392339"/>
    <w:rsid w:val="00392352"/>
    <w:rsid w:val="003925C6"/>
    <w:rsid w:val="00393E43"/>
    <w:rsid w:val="003A5F04"/>
    <w:rsid w:val="003A6322"/>
    <w:rsid w:val="003A65F1"/>
    <w:rsid w:val="003A6869"/>
    <w:rsid w:val="003B2C22"/>
    <w:rsid w:val="003B7AD4"/>
    <w:rsid w:val="003C0487"/>
    <w:rsid w:val="003C1048"/>
    <w:rsid w:val="003C1DA7"/>
    <w:rsid w:val="003C20BB"/>
    <w:rsid w:val="003C38E3"/>
    <w:rsid w:val="003C5D6F"/>
    <w:rsid w:val="003C698F"/>
    <w:rsid w:val="003C764D"/>
    <w:rsid w:val="003D04B8"/>
    <w:rsid w:val="003D0896"/>
    <w:rsid w:val="003D12C0"/>
    <w:rsid w:val="003D211E"/>
    <w:rsid w:val="003E04B5"/>
    <w:rsid w:val="003E07DB"/>
    <w:rsid w:val="003E1793"/>
    <w:rsid w:val="003E275F"/>
    <w:rsid w:val="003E3F38"/>
    <w:rsid w:val="003E57F4"/>
    <w:rsid w:val="003E7456"/>
    <w:rsid w:val="003F0C5C"/>
    <w:rsid w:val="003F2849"/>
    <w:rsid w:val="003F3C56"/>
    <w:rsid w:val="003F3E97"/>
    <w:rsid w:val="003F3EFD"/>
    <w:rsid w:val="003F43DA"/>
    <w:rsid w:val="003F6B09"/>
    <w:rsid w:val="003F6E49"/>
    <w:rsid w:val="003F7716"/>
    <w:rsid w:val="00402ADF"/>
    <w:rsid w:val="00402F1D"/>
    <w:rsid w:val="00403426"/>
    <w:rsid w:val="00403AEB"/>
    <w:rsid w:val="00404F18"/>
    <w:rsid w:val="0040607E"/>
    <w:rsid w:val="00411B85"/>
    <w:rsid w:val="004146B9"/>
    <w:rsid w:val="0041470E"/>
    <w:rsid w:val="004153D5"/>
    <w:rsid w:val="004201E0"/>
    <w:rsid w:val="004218AF"/>
    <w:rsid w:val="0042235D"/>
    <w:rsid w:val="00423EE8"/>
    <w:rsid w:val="004248F5"/>
    <w:rsid w:val="00426D93"/>
    <w:rsid w:val="004277E5"/>
    <w:rsid w:val="00432CD6"/>
    <w:rsid w:val="00433EE2"/>
    <w:rsid w:val="00437885"/>
    <w:rsid w:val="00441C96"/>
    <w:rsid w:val="00442B43"/>
    <w:rsid w:val="00443A30"/>
    <w:rsid w:val="00443D5B"/>
    <w:rsid w:val="00444177"/>
    <w:rsid w:val="004445C7"/>
    <w:rsid w:val="004446CE"/>
    <w:rsid w:val="00444ABD"/>
    <w:rsid w:val="004457F1"/>
    <w:rsid w:val="00446CA1"/>
    <w:rsid w:val="004501A5"/>
    <w:rsid w:val="00451FF8"/>
    <w:rsid w:val="00454DF0"/>
    <w:rsid w:val="00456863"/>
    <w:rsid w:val="00456FC8"/>
    <w:rsid w:val="00461076"/>
    <w:rsid w:val="0046210E"/>
    <w:rsid w:val="004627F2"/>
    <w:rsid w:val="00464D81"/>
    <w:rsid w:val="00465B72"/>
    <w:rsid w:val="004667F3"/>
    <w:rsid w:val="0047063C"/>
    <w:rsid w:val="00470D13"/>
    <w:rsid w:val="004712B9"/>
    <w:rsid w:val="00471A00"/>
    <w:rsid w:val="00474E86"/>
    <w:rsid w:val="00477542"/>
    <w:rsid w:val="00482164"/>
    <w:rsid w:val="00482363"/>
    <w:rsid w:val="0048737A"/>
    <w:rsid w:val="00490EF1"/>
    <w:rsid w:val="00494EA9"/>
    <w:rsid w:val="004951C2"/>
    <w:rsid w:val="004A2D0C"/>
    <w:rsid w:val="004A4F68"/>
    <w:rsid w:val="004A7A1E"/>
    <w:rsid w:val="004B2499"/>
    <w:rsid w:val="004B5BDE"/>
    <w:rsid w:val="004B6087"/>
    <w:rsid w:val="004C0C44"/>
    <w:rsid w:val="004C133B"/>
    <w:rsid w:val="004C188A"/>
    <w:rsid w:val="004C2C33"/>
    <w:rsid w:val="004C59F2"/>
    <w:rsid w:val="004C5F53"/>
    <w:rsid w:val="004C6B62"/>
    <w:rsid w:val="004C7D7F"/>
    <w:rsid w:val="004D0292"/>
    <w:rsid w:val="004D10E3"/>
    <w:rsid w:val="004D3080"/>
    <w:rsid w:val="004D45AA"/>
    <w:rsid w:val="004D6EFC"/>
    <w:rsid w:val="004D76B9"/>
    <w:rsid w:val="004E556E"/>
    <w:rsid w:val="004F2C6A"/>
    <w:rsid w:val="004F3CAB"/>
    <w:rsid w:val="004F5978"/>
    <w:rsid w:val="004F6AB7"/>
    <w:rsid w:val="004F6EED"/>
    <w:rsid w:val="004F6F0D"/>
    <w:rsid w:val="004F7D5D"/>
    <w:rsid w:val="00500597"/>
    <w:rsid w:val="005036E8"/>
    <w:rsid w:val="00504680"/>
    <w:rsid w:val="00513FAD"/>
    <w:rsid w:val="00514E41"/>
    <w:rsid w:val="00516229"/>
    <w:rsid w:val="005206ED"/>
    <w:rsid w:val="0052258F"/>
    <w:rsid w:val="005246A9"/>
    <w:rsid w:val="00527C7D"/>
    <w:rsid w:val="00530DED"/>
    <w:rsid w:val="00533899"/>
    <w:rsid w:val="00534CAD"/>
    <w:rsid w:val="00535AD6"/>
    <w:rsid w:val="00536ADB"/>
    <w:rsid w:val="0053701A"/>
    <w:rsid w:val="005439CB"/>
    <w:rsid w:val="00552503"/>
    <w:rsid w:val="00555B6B"/>
    <w:rsid w:val="005578FC"/>
    <w:rsid w:val="00562A05"/>
    <w:rsid w:val="005644E8"/>
    <w:rsid w:val="00564AB9"/>
    <w:rsid w:val="00564E79"/>
    <w:rsid w:val="00566D04"/>
    <w:rsid w:val="00566EFD"/>
    <w:rsid w:val="00570B94"/>
    <w:rsid w:val="0057172B"/>
    <w:rsid w:val="00591024"/>
    <w:rsid w:val="00593846"/>
    <w:rsid w:val="00594483"/>
    <w:rsid w:val="00596321"/>
    <w:rsid w:val="005A483D"/>
    <w:rsid w:val="005B5F15"/>
    <w:rsid w:val="005B65C7"/>
    <w:rsid w:val="005B6D50"/>
    <w:rsid w:val="005C029B"/>
    <w:rsid w:val="005C09AA"/>
    <w:rsid w:val="005C1DA7"/>
    <w:rsid w:val="005C29B9"/>
    <w:rsid w:val="005C3693"/>
    <w:rsid w:val="005D1389"/>
    <w:rsid w:val="005D23E4"/>
    <w:rsid w:val="005D29A4"/>
    <w:rsid w:val="005D54E4"/>
    <w:rsid w:val="005D671B"/>
    <w:rsid w:val="005E12C2"/>
    <w:rsid w:val="005E29D3"/>
    <w:rsid w:val="005E30AA"/>
    <w:rsid w:val="005E5020"/>
    <w:rsid w:val="005E502B"/>
    <w:rsid w:val="005E541A"/>
    <w:rsid w:val="005E5AAB"/>
    <w:rsid w:val="005E6C0F"/>
    <w:rsid w:val="005E7F4E"/>
    <w:rsid w:val="005F722C"/>
    <w:rsid w:val="005F7C29"/>
    <w:rsid w:val="00604F3B"/>
    <w:rsid w:val="00606739"/>
    <w:rsid w:val="00606E32"/>
    <w:rsid w:val="00607B52"/>
    <w:rsid w:val="006100B3"/>
    <w:rsid w:val="00610252"/>
    <w:rsid w:val="00612918"/>
    <w:rsid w:val="00613EFC"/>
    <w:rsid w:val="00614B9E"/>
    <w:rsid w:val="00621823"/>
    <w:rsid w:val="00624500"/>
    <w:rsid w:val="00624541"/>
    <w:rsid w:val="00632834"/>
    <w:rsid w:val="00632969"/>
    <w:rsid w:val="006332FB"/>
    <w:rsid w:val="0063699E"/>
    <w:rsid w:val="006422A6"/>
    <w:rsid w:val="0064249C"/>
    <w:rsid w:val="00642E49"/>
    <w:rsid w:val="00643450"/>
    <w:rsid w:val="00644173"/>
    <w:rsid w:val="00645852"/>
    <w:rsid w:val="00652DB0"/>
    <w:rsid w:val="00654289"/>
    <w:rsid w:val="006623BF"/>
    <w:rsid w:val="00673EB3"/>
    <w:rsid w:val="00680320"/>
    <w:rsid w:val="00681130"/>
    <w:rsid w:val="00684163"/>
    <w:rsid w:val="00685597"/>
    <w:rsid w:val="00685F0D"/>
    <w:rsid w:val="00686D8C"/>
    <w:rsid w:val="00687892"/>
    <w:rsid w:val="00687ACD"/>
    <w:rsid w:val="00687F95"/>
    <w:rsid w:val="00690AE1"/>
    <w:rsid w:val="00691432"/>
    <w:rsid w:val="006934D4"/>
    <w:rsid w:val="006949F9"/>
    <w:rsid w:val="00694AD6"/>
    <w:rsid w:val="00695895"/>
    <w:rsid w:val="006A0344"/>
    <w:rsid w:val="006A0C08"/>
    <w:rsid w:val="006A2295"/>
    <w:rsid w:val="006A4012"/>
    <w:rsid w:val="006A5017"/>
    <w:rsid w:val="006B09A6"/>
    <w:rsid w:val="006B1B6E"/>
    <w:rsid w:val="006B3AC0"/>
    <w:rsid w:val="006B66D2"/>
    <w:rsid w:val="006B7DF0"/>
    <w:rsid w:val="006C17E4"/>
    <w:rsid w:val="006C2B81"/>
    <w:rsid w:val="006C2BC2"/>
    <w:rsid w:val="006D0788"/>
    <w:rsid w:val="006D174D"/>
    <w:rsid w:val="006D65AD"/>
    <w:rsid w:val="006E0706"/>
    <w:rsid w:val="006E1485"/>
    <w:rsid w:val="006E40A8"/>
    <w:rsid w:val="006E4234"/>
    <w:rsid w:val="006E59DB"/>
    <w:rsid w:val="006F36C7"/>
    <w:rsid w:val="006F71EC"/>
    <w:rsid w:val="007001B8"/>
    <w:rsid w:val="00701A98"/>
    <w:rsid w:val="00702C83"/>
    <w:rsid w:val="00703AF1"/>
    <w:rsid w:val="00704BC3"/>
    <w:rsid w:val="00704D4A"/>
    <w:rsid w:val="00704FED"/>
    <w:rsid w:val="00705C09"/>
    <w:rsid w:val="00706D63"/>
    <w:rsid w:val="00710F60"/>
    <w:rsid w:val="0071512F"/>
    <w:rsid w:val="0071540E"/>
    <w:rsid w:val="0072046F"/>
    <w:rsid w:val="00722059"/>
    <w:rsid w:val="00724DCC"/>
    <w:rsid w:val="0072676A"/>
    <w:rsid w:val="00727741"/>
    <w:rsid w:val="0073024B"/>
    <w:rsid w:val="0073274C"/>
    <w:rsid w:val="007340F4"/>
    <w:rsid w:val="00735AB8"/>
    <w:rsid w:val="007365BB"/>
    <w:rsid w:val="00740098"/>
    <w:rsid w:val="00743302"/>
    <w:rsid w:val="00743334"/>
    <w:rsid w:val="00743A45"/>
    <w:rsid w:val="00746792"/>
    <w:rsid w:val="00747895"/>
    <w:rsid w:val="00750FBA"/>
    <w:rsid w:val="00753198"/>
    <w:rsid w:val="00753E93"/>
    <w:rsid w:val="00756802"/>
    <w:rsid w:val="007614F3"/>
    <w:rsid w:val="007618D8"/>
    <w:rsid w:val="00761908"/>
    <w:rsid w:val="00761C10"/>
    <w:rsid w:val="0076419A"/>
    <w:rsid w:val="00764BF1"/>
    <w:rsid w:val="0077137C"/>
    <w:rsid w:val="00771DF7"/>
    <w:rsid w:val="007771FC"/>
    <w:rsid w:val="00777370"/>
    <w:rsid w:val="00782963"/>
    <w:rsid w:val="00782E85"/>
    <w:rsid w:val="007845CF"/>
    <w:rsid w:val="00785359"/>
    <w:rsid w:val="007862D6"/>
    <w:rsid w:val="0079062F"/>
    <w:rsid w:val="007951CC"/>
    <w:rsid w:val="00797B93"/>
    <w:rsid w:val="00797E5A"/>
    <w:rsid w:val="007A1000"/>
    <w:rsid w:val="007A1D2F"/>
    <w:rsid w:val="007A532F"/>
    <w:rsid w:val="007A6850"/>
    <w:rsid w:val="007A7A7A"/>
    <w:rsid w:val="007B1858"/>
    <w:rsid w:val="007B1C6C"/>
    <w:rsid w:val="007B52CB"/>
    <w:rsid w:val="007B5909"/>
    <w:rsid w:val="007B5F10"/>
    <w:rsid w:val="007B7625"/>
    <w:rsid w:val="007C1263"/>
    <w:rsid w:val="007C501B"/>
    <w:rsid w:val="007D3954"/>
    <w:rsid w:val="007D3F1F"/>
    <w:rsid w:val="007D597F"/>
    <w:rsid w:val="007D65A1"/>
    <w:rsid w:val="007D79FE"/>
    <w:rsid w:val="007E0B07"/>
    <w:rsid w:val="007E47B6"/>
    <w:rsid w:val="007F041F"/>
    <w:rsid w:val="007F4524"/>
    <w:rsid w:val="007F4695"/>
    <w:rsid w:val="007F7C29"/>
    <w:rsid w:val="00802082"/>
    <w:rsid w:val="00802A96"/>
    <w:rsid w:val="0080383D"/>
    <w:rsid w:val="00804175"/>
    <w:rsid w:val="00804542"/>
    <w:rsid w:val="00805FC8"/>
    <w:rsid w:val="008074A5"/>
    <w:rsid w:val="008076FE"/>
    <w:rsid w:val="00811037"/>
    <w:rsid w:val="008129FA"/>
    <w:rsid w:val="00813544"/>
    <w:rsid w:val="008166EE"/>
    <w:rsid w:val="00816776"/>
    <w:rsid w:val="00822147"/>
    <w:rsid w:val="00822487"/>
    <w:rsid w:val="0082291A"/>
    <w:rsid w:val="00823B20"/>
    <w:rsid w:val="00825726"/>
    <w:rsid w:val="008260F6"/>
    <w:rsid w:val="00830E4F"/>
    <w:rsid w:val="00830FB0"/>
    <w:rsid w:val="00831346"/>
    <w:rsid w:val="00831588"/>
    <w:rsid w:val="00833188"/>
    <w:rsid w:val="00833B46"/>
    <w:rsid w:val="00834568"/>
    <w:rsid w:val="008368CE"/>
    <w:rsid w:val="00841D7B"/>
    <w:rsid w:val="00845283"/>
    <w:rsid w:val="00853C4C"/>
    <w:rsid w:val="00853C8E"/>
    <w:rsid w:val="008562C5"/>
    <w:rsid w:val="00857B76"/>
    <w:rsid w:val="00857D5B"/>
    <w:rsid w:val="00860936"/>
    <w:rsid w:val="00861E8C"/>
    <w:rsid w:val="00863CA9"/>
    <w:rsid w:val="00863DA7"/>
    <w:rsid w:val="00870D59"/>
    <w:rsid w:val="0087322B"/>
    <w:rsid w:val="008755E1"/>
    <w:rsid w:val="00875FE6"/>
    <w:rsid w:val="008779EA"/>
    <w:rsid w:val="0088297B"/>
    <w:rsid w:val="00883903"/>
    <w:rsid w:val="00884AAC"/>
    <w:rsid w:val="00884FB3"/>
    <w:rsid w:val="00887149"/>
    <w:rsid w:val="00887B11"/>
    <w:rsid w:val="00892079"/>
    <w:rsid w:val="008949A4"/>
    <w:rsid w:val="008954EB"/>
    <w:rsid w:val="0089670A"/>
    <w:rsid w:val="008979CF"/>
    <w:rsid w:val="008A085F"/>
    <w:rsid w:val="008A27B6"/>
    <w:rsid w:val="008A2877"/>
    <w:rsid w:val="008A33E3"/>
    <w:rsid w:val="008A4864"/>
    <w:rsid w:val="008B0198"/>
    <w:rsid w:val="008B20BE"/>
    <w:rsid w:val="008B2AAF"/>
    <w:rsid w:val="008B779B"/>
    <w:rsid w:val="008E1387"/>
    <w:rsid w:val="008E6002"/>
    <w:rsid w:val="008E6C82"/>
    <w:rsid w:val="008E76CC"/>
    <w:rsid w:val="008E7AA1"/>
    <w:rsid w:val="008F1A20"/>
    <w:rsid w:val="008F1D5C"/>
    <w:rsid w:val="008F1E85"/>
    <w:rsid w:val="008F430E"/>
    <w:rsid w:val="008F7320"/>
    <w:rsid w:val="0090028B"/>
    <w:rsid w:val="009041FE"/>
    <w:rsid w:val="00906AB3"/>
    <w:rsid w:val="00906C6E"/>
    <w:rsid w:val="0091123C"/>
    <w:rsid w:val="009121E3"/>
    <w:rsid w:val="00914C23"/>
    <w:rsid w:val="009172F8"/>
    <w:rsid w:val="0091741D"/>
    <w:rsid w:val="009200B7"/>
    <w:rsid w:val="00920231"/>
    <w:rsid w:val="009263E8"/>
    <w:rsid w:val="00926878"/>
    <w:rsid w:val="00927C2D"/>
    <w:rsid w:val="009313B2"/>
    <w:rsid w:val="009341AE"/>
    <w:rsid w:val="009345FE"/>
    <w:rsid w:val="009428E6"/>
    <w:rsid w:val="0094644B"/>
    <w:rsid w:val="00946582"/>
    <w:rsid w:val="00951810"/>
    <w:rsid w:val="00951ED5"/>
    <w:rsid w:val="00957442"/>
    <w:rsid w:val="00957E6D"/>
    <w:rsid w:val="0096026B"/>
    <w:rsid w:val="0096182E"/>
    <w:rsid w:val="00962381"/>
    <w:rsid w:val="00964D12"/>
    <w:rsid w:val="00975622"/>
    <w:rsid w:val="009762BA"/>
    <w:rsid w:val="009765B2"/>
    <w:rsid w:val="00977B6A"/>
    <w:rsid w:val="009836FB"/>
    <w:rsid w:val="009857BC"/>
    <w:rsid w:val="00986253"/>
    <w:rsid w:val="009869C9"/>
    <w:rsid w:val="009910B8"/>
    <w:rsid w:val="009914CF"/>
    <w:rsid w:val="00993380"/>
    <w:rsid w:val="00994FC7"/>
    <w:rsid w:val="009951A6"/>
    <w:rsid w:val="009A0E7D"/>
    <w:rsid w:val="009A15A5"/>
    <w:rsid w:val="009A2FF6"/>
    <w:rsid w:val="009A6175"/>
    <w:rsid w:val="009A7A08"/>
    <w:rsid w:val="009B049E"/>
    <w:rsid w:val="009B315C"/>
    <w:rsid w:val="009B4CD2"/>
    <w:rsid w:val="009B6578"/>
    <w:rsid w:val="009B6F1F"/>
    <w:rsid w:val="009C1B92"/>
    <w:rsid w:val="009C2902"/>
    <w:rsid w:val="009C7913"/>
    <w:rsid w:val="009C7FDF"/>
    <w:rsid w:val="009D19D2"/>
    <w:rsid w:val="009D2BB2"/>
    <w:rsid w:val="009D53F0"/>
    <w:rsid w:val="009D755A"/>
    <w:rsid w:val="009E113D"/>
    <w:rsid w:val="009E1E1E"/>
    <w:rsid w:val="009E264A"/>
    <w:rsid w:val="009E4127"/>
    <w:rsid w:val="009E469E"/>
    <w:rsid w:val="009E5D76"/>
    <w:rsid w:val="009E7995"/>
    <w:rsid w:val="009F0FF6"/>
    <w:rsid w:val="009F1179"/>
    <w:rsid w:val="009F2879"/>
    <w:rsid w:val="00A01732"/>
    <w:rsid w:val="00A03CC3"/>
    <w:rsid w:val="00A04FC4"/>
    <w:rsid w:val="00A128FE"/>
    <w:rsid w:val="00A316E2"/>
    <w:rsid w:val="00A316F5"/>
    <w:rsid w:val="00A32930"/>
    <w:rsid w:val="00A32DF7"/>
    <w:rsid w:val="00A33F22"/>
    <w:rsid w:val="00A34DB7"/>
    <w:rsid w:val="00A3791E"/>
    <w:rsid w:val="00A40783"/>
    <w:rsid w:val="00A47E38"/>
    <w:rsid w:val="00A506EF"/>
    <w:rsid w:val="00A53F28"/>
    <w:rsid w:val="00A545B0"/>
    <w:rsid w:val="00A54D7A"/>
    <w:rsid w:val="00A55F09"/>
    <w:rsid w:val="00A60423"/>
    <w:rsid w:val="00A60700"/>
    <w:rsid w:val="00A60BA7"/>
    <w:rsid w:val="00A63475"/>
    <w:rsid w:val="00A65521"/>
    <w:rsid w:val="00A75101"/>
    <w:rsid w:val="00A77F55"/>
    <w:rsid w:val="00A80663"/>
    <w:rsid w:val="00A81172"/>
    <w:rsid w:val="00A82E8B"/>
    <w:rsid w:val="00A921FF"/>
    <w:rsid w:val="00A94201"/>
    <w:rsid w:val="00A96B3A"/>
    <w:rsid w:val="00AA3569"/>
    <w:rsid w:val="00AA4575"/>
    <w:rsid w:val="00AA668A"/>
    <w:rsid w:val="00AB31CB"/>
    <w:rsid w:val="00AB4A2A"/>
    <w:rsid w:val="00AB4FBC"/>
    <w:rsid w:val="00AB55A8"/>
    <w:rsid w:val="00AB59F0"/>
    <w:rsid w:val="00AC0805"/>
    <w:rsid w:val="00AC1B78"/>
    <w:rsid w:val="00AC3262"/>
    <w:rsid w:val="00AC69A3"/>
    <w:rsid w:val="00AD4C0D"/>
    <w:rsid w:val="00AD5EDD"/>
    <w:rsid w:val="00AE193A"/>
    <w:rsid w:val="00AE43B4"/>
    <w:rsid w:val="00AE52B0"/>
    <w:rsid w:val="00AE6357"/>
    <w:rsid w:val="00AE719C"/>
    <w:rsid w:val="00AF09C0"/>
    <w:rsid w:val="00AF3F8B"/>
    <w:rsid w:val="00AF5319"/>
    <w:rsid w:val="00AF6DE9"/>
    <w:rsid w:val="00B0006E"/>
    <w:rsid w:val="00B001D8"/>
    <w:rsid w:val="00B0056A"/>
    <w:rsid w:val="00B021F2"/>
    <w:rsid w:val="00B0306D"/>
    <w:rsid w:val="00B03186"/>
    <w:rsid w:val="00B03E72"/>
    <w:rsid w:val="00B1087B"/>
    <w:rsid w:val="00B10C76"/>
    <w:rsid w:val="00B12033"/>
    <w:rsid w:val="00B121AF"/>
    <w:rsid w:val="00B137DB"/>
    <w:rsid w:val="00B14EB9"/>
    <w:rsid w:val="00B17673"/>
    <w:rsid w:val="00B20080"/>
    <w:rsid w:val="00B20D1F"/>
    <w:rsid w:val="00B2385B"/>
    <w:rsid w:val="00B26BF0"/>
    <w:rsid w:val="00B33319"/>
    <w:rsid w:val="00B33786"/>
    <w:rsid w:val="00B344EC"/>
    <w:rsid w:val="00B36DE1"/>
    <w:rsid w:val="00B40917"/>
    <w:rsid w:val="00B44EE3"/>
    <w:rsid w:val="00B45A59"/>
    <w:rsid w:val="00B45E22"/>
    <w:rsid w:val="00B47372"/>
    <w:rsid w:val="00B52F03"/>
    <w:rsid w:val="00B53154"/>
    <w:rsid w:val="00B56896"/>
    <w:rsid w:val="00B62078"/>
    <w:rsid w:val="00B62411"/>
    <w:rsid w:val="00B630F3"/>
    <w:rsid w:val="00B64AB9"/>
    <w:rsid w:val="00B64C6A"/>
    <w:rsid w:val="00B64FFA"/>
    <w:rsid w:val="00B678BA"/>
    <w:rsid w:val="00B70C83"/>
    <w:rsid w:val="00B72916"/>
    <w:rsid w:val="00B73903"/>
    <w:rsid w:val="00B817E9"/>
    <w:rsid w:val="00B82B19"/>
    <w:rsid w:val="00B82FAF"/>
    <w:rsid w:val="00B85391"/>
    <w:rsid w:val="00B92CB7"/>
    <w:rsid w:val="00B9619D"/>
    <w:rsid w:val="00B96C8B"/>
    <w:rsid w:val="00B9760F"/>
    <w:rsid w:val="00BA0622"/>
    <w:rsid w:val="00BA3A96"/>
    <w:rsid w:val="00BA3DA9"/>
    <w:rsid w:val="00BA485F"/>
    <w:rsid w:val="00BA52B4"/>
    <w:rsid w:val="00BA6403"/>
    <w:rsid w:val="00BA7E89"/>
    <w:rsid w:val="00BA7F4D"/>
    <w:rsid w:val="00BC2B62"/>
    <w:rsid w:val="00BC4A62"/>
    <w:rsid w:val="00BC6206"/>
    <w:rsid w:val="00BD08AC"/>
    <w:rsid w:val="00BD6A47"/>
    <w:rsid w:val="00BD7682"/>
    <w:rsid w:val="00BE1F8D"/>
    <w:rsid w:val="00BE3C47"/>
    <w:rsid w:val="00BE6642"/>
    <w:rsid w:val="00BE784E"/>
    <w:rsid w:val="00BF1395"/>
    <w:rsid w:val="00BF2C0B"/>
    <w:rsid w:val="00BF3A56"/>
    <w:rsid w:val="00BF426B"/>
    <w:rsid w:val="00C008BE"/>
    <w:rsid w:val="00C00EA2"/>
    <w:rsid w:val="00C048D5"/>
    <w:rsid w:val="00C04EE1"/>
    <w:rsid w:val="00C05D03"/>
    <w:rsid w:val="00C10B1E"/>
    <w:rsid w:val="00C14292"/>
    <w:rsid w:val="00C14CB8"/>
    <w:rsid w:val="00C15EAC"/>
    <w:rsid w:val="00C21E37"/>
    <w:rsid w:val="00C21F67"/>
    <w:rsid w:val="00C25AE6"/>
    <w:rsid w:val="00C3078A"/>
    <w:rsid w:val="00C3222C"/>
    <w:rsid w:val="00C35433"/>
    <w:rsid w:val="00C35664"/>
    <w:rsid w:val="00C37D1D"/>
    <w:rsid w:val="00C43506"/>
    <w:rsid w:val="00C51198"/>
    <w:rsid w:val="00C51BEE"/>
    <w:rsid w:val="00C51D62"/>
    <w:rsid w:val="00C535D3"/>
    <w:rsid w:val="00C541A2"/>
    <w:rsid w:val="00C5523E"/>
    <w:rsid w:val="00C65BCA"/>
    <w:rsid w:val="00C67548"/>
    <w:rsid w:val="00C73046"/>
    <w:rsid w:val="00C73496"/>
    <w:rsid w:val="00C74E0E"/>
    <w:rsid w:val="00C863A8"/>
    <w:rsid w:val="00C90190"/>
    <w:rsid w:val="00C91BD4"/>
    <w:rsid w:val="00C96054"/>
    <w:rsid w:val="00C96334"/>
    <w:rsid w:val="00CA156F"/>
    <w:rsid w:val="00CA1E26"/>
    <w:rsid w:val="00CA3A3A"/>
    <w:rsid w:val="00CA467A"/>
    <w:rsid w:val="00CA4FD5"/>
    <w:rsid w:val="00CA56E4"/>
    <w:rsid w:val="00CA7791"/>
    <w:rsid w:val="00CB0709"/>
    <w:rsid w:val="00CB2086"/>
    <w:rsid w:val="00CB42BC"/>
    <w:rsid w:val="00CB57C1"/>
    <w:rsid w:val="00CB75DB"/>
    <w:rsid w:val="00CB7787"/>
    <w:rsid w:val="00CB7BD6"/>
    <w:rsid w:val="00CC61D3"/>
    <w:rsid w:val="00CD1951"/>
    <w:rsid w:val="00CD2C82"/>
    <w:rsid w:val="00CD489E"/>
    <w:rsid w:val="00CD69F5"/>
    <w:rsid w:val="00CE0E4D"/>
    <w:rsid w:val="00CE1137"/>
    <w:rsid w:val="00CE48EB"/>
    <w:rsid w:val="00CE5880"/>
    <w:rsid w:val="00CF1650"/>
    <w:rsid w:val="00CF20A2"/>
    <w:rsid w:val="00CF2FC3"/>
    <w:rsid w:val="00CF4B58"/>
    <w:rsid w:val="00CF5ACA"/>
    <w:rsid w:val="00CF5D3E"/>
    <w:rsid w:val="00CF6D58"/>
    <w:rsid w:val="00D01AA4"/>
    <w:rsid w:val="00D07CF3"/>
    <w:rsid w:val="00D138B6"/>
    <w:rsid w:val="00D158D1"/>
    <w:rsid w:val="00D165A4"/>
    <w:rsid w:val="00D21DDA"/>
    <w:rsid w:val="00D23589"/>
    <w:rsid w:val="00D23E88"/>
    <w:rsid w:val="00D2756B"/>
    <w:rsid w:val="00D30A63"/>
    <w:rsid w:val="00D3706E"/>
    <w:rsid w:val="00D50CC7"/>
    <w:rsid w:val="00D555EC"/>
    <w:rsid w:val="00D57A4D"/>
    <w:rsid w:val="00D61261"/>
    <w:rsid w:val="00D62764"/>
    <w:rsid w:val="00D630B1"/>
    <w:rsid w:val="00D63130"/>
    <w:rsid w:val="00D64EDD"/>
    <w:rsid w:val="00D66413"/>
    <w:rsid w:val="00D66F50"/>
    <w:rsid w:val="00D70DB5"/>
    <w:rsid w:val="00D72091"/>
    <w:rsid w:val="00D73B1C"/>
    <w:rsid w:val="00D7454B"/>
    <w:rsid w:val="00D74816"/>
    <w:rsid w:val="00D75D48"/>
    <w:rsid w:val="00D82A30"/>
    <w:rsid w:val="00D83024"/>
    <w:rsid w:val="00D83A6D"/>
    <w:rsid w:val="00D85A46"/>
    <w:rsid w:val="00D85B22"/>
    <w:rsid w:val="00D86579"/>
    <w:rsid w:val="00D865EA"/>
    <w:rsid w:val="00D87982"/>
    <w:rsid w:val="00DA0207"/>
    <w:rsid w:val="00DA1A73"/>
    <w:rsid w:val="00DA21D3"/>
    <w:rsid w:val="00DA43D5"/>
    <w:rsid w:val="00DA68F2"/>
    <w:rsid w:val="00DA7137"/>
    <w:rsid w:val="00DB006D"/>
    <w:rsid w:val="00DB1B8B"/>
    <w:rsid w:val="00DB1E1F"/>
    <w:rsid w:val="00DB4B79"/>
    <w:rsid w:val="00DB53FE"/>
    <w:rsid w:val="00DB607F"/>
    <w:rsid w:val="00DC1E88"/>
    <w:rsid w:val="00DC3095"/>
    <w:rsid w:val="00DC3A14"/>
    <w:rsid w:val="00DC48DC"/>
    <w:rsid w:val="00DD4928"/>
    <w:rsid w:val="00DD4EB2"/>
    <w:rsid w:val="00DD5154"/>
    <w:rsid w:val="00DE2CFA"/>
    <w:rsid w:val="00DE6ACA"/>
    <w:rsid w:val="00DE6D45"/>
    <w:rsid w:val="00DE7E64"/>
    <w:rsid w:val="00DF1F7F"/>
    <w:rsid w:val="00DF2E6D"/>
    <w:rsid w:val="00DF4C91"/>
    <w:rsid w:val="00E049FC"/>
    <w:rsid w:val="00E14110"/>
    <w:rsid w:val="00E14A9C"/>
    <w:rsid w:val="00E175FE"/>
    <w:rsid w:val="00E20AE1"/>
    <w:rsid w:val="00E21153"/>
    <w:rsid w:val="00E237C8"/>
    <w:rsid w:val="00E244CD"/>
    <w:rsid w:val="00E27544"/>
    <w:rsid w:val="00E27593"/>
    <w:rsid w:val="00E33952"/>
    <w:rsid w:val="00E33F2E"/>
    <w:rsid w:val="00E34153"/>
    <w:rsid w:val="00E4219A"/>
    <w:rsid w:val="00E429E4"/>
    <w:rsid w:val="00E42D31"/>
    <w:rsid w:val="00E44119"/>
    <w:rsid w:val="00E45ED9"/>
    <w:rsid w:val="00E467AE"/>
    <w:rsid w:val="00E46FAE"/>
    <w:rsid w:val="00E53CC7"/>
    <w:rsid w:val="00E53D28"/>
    <w:rsid w:val="00E544A5"/>
    <w:rsid w:val="00E622E0"/>
    <w:rsid w:val="00E65B1C"/>
    <w:rsid w:val="00E674A8"/>
    <w:rsid w:val="00E700CD"/>
    <w:rsid w:val="00E70751"/>
    <w:rsid w:val="00E74585"/>
    <w:rsid w:val="00E757B6"/>
    <w:rsid w:val="00E76B59"/>
    <w:rsid w:val="00E80774"/>
    <w:rsid w:val="00E844F1"/>
    <w:rsid w:val="00E9022A"/>
    <w:rsid w:val="00E90311"/>
    <w:rsid w:val="00E90A27"/>
    <w:rsid w:val="00E9157E"/>
    <w:rsid w:val="00E97C3C"/>
    <w:rsid w:val="00EA021D"/>
    <w:rsid w:val="00EA108E"/>
    <w:rsid w:val="00EA1186"/>
    <w:rsid w:val="00EA2897"/>
    <w:rsid w:val="00EA5A9D"/>
    <w:rsid w:val="00EB0F63"/>
    <w:rsid w:val="00EB4459"/>
    <w:rsid w:val="00EB537E"/>
    <w:rsid w:val="00EC0E5A"/>
    <w:rsid w:val="00EC327D"/>
    <w:rsid w:val="00EC4D10"/>
    <w:rsid w:val="00EC6FE1"/>
    <w:rsid w:val="00EC706D"/>
    <w:rsid w:val="00ED037E"/>
    <w:rsid w:val="00ED4981"/>
    <w:rsid w:val="00ED69FD"/>
    <w:rsid w:val="00EE1C06"/>
    <w:rsid w:val="00EE7CD1"/>
    <w:rsid w:val="00EF0A99"/>
    <w:rsid w:val="00EF23A6"/>
    <w:rsid w:val="00EF348D"/>
    <w:rsid w:val="00EF4EC7"/>
    <w:rsid w:val="00F021C5"/>
    <w:rsid w:val="00F029D8"/>
    <w:rsid w:val="00F07678"/>
    <w:rsid w:val="00F10544"/>
    <w:rsid w:val="00F12FE1"/>
    <w:rsid w:val="00F21258"/>
    <w:rsid w:val="00F246F4"/>
    <w:rsid w:val="00F24D29"/>
    <w:rsid w:val="00F26EE5"/>
    <w:rsid w:val="00F34D57"/>
    <w:rsid w:val="00F351DF"/>
    <w:rsid w:val="00F368F5"/>
    <w:rsid w:val="00F41019"/>
    <w:rsid w:val="00F44A32"/>
    <w:rsid w:val="00F47362"/>
    <w:rsid w:val="00F47961"/>
    <w:rsid w:val="00F5160E"/>
    <w:rsid w:val="00F52F73"/>
    <w:rsid w:val="00F548D4"/>
    <w:rsid w:val="00F552A8"/>
    <w:rsid w:val="00F62226"/>
    <w:rsid w:val="00F6247E"/>
    <w:rsid w:val="00F62C37"/>
    <w:rsid w:val="00F63D6B"/>
    <w:rsid w:val="00F6573F"/>
    <w:rsid w:val="00F676AA"/>
    <w:rsid w:val="00F7038D"/>
    <w:rsid w:val="00F7194D"/>
    <w:rsid w:val="00F80484"/>
    <w:rsid w:val="00F80B8B"/>
    <w:rsid w:val="00F81C93"/>
    <w:rsid w:val="00F828D3"/>
    <w:rsid w:val="00F83524"/>
    <w:rsid w:val="00F8712B"/>
    <w:rsid w:val="00F90208"/>
    <w:rsid w:val="00F9302F"/>
    <w:rsid w:val="00F938C5"/>
    <w:rsid w:val="00F93936"/>
    <w:rsid w:val="00F943D9"/>
    <w:rsid w:val="00F94B4D"/>
    <w:rsid w:val="00F95E40"/>
    <w:rsid w:val="00F95EE4"/>
    <w:rsid w:val="00FA539C"/>
    <w:rsid w:val="00FA67F2"/>
    <w:rsid w:val="00FB1878"/>
    <w:rsid w:val="00FB1B70"/>
    <w:rsid w:val="00FB232C"/>
    <w:rsid w:val="00FB2E98"/>
    <w:rsid w:val="00FB3B54"/>
    <w:rsid w:val="00FB56D8"/>
    <w:rsid w:val="00FB63A9"/>
    <w:rsid w:val="00FB75E8"/>
    <w:rsid w:val="00FC09C6"/>
    <w:rsid w:val="00FC26AF"/>
    <w:rsid w:val="00FC3E11"/>
    <w:rsid w:val="00FC7054"/>
    <w:rsid w:val="00FD12F4"/>
    <w:rsid w:val="00FD17DD"/>
    <w:rsid w:val="00FD2732"/>
    <w:rsid w:val="00FD46B6"/>
    <w:rsid w:val="00FD4A5D"/>
    <w:rsid w:val="00FD54BF"/>
    <w:rsid w:val="00FE03AB"/>
    <w:rsid w:val="00FE5BA5"/>
    <w:rsid w:val="00FE6D77"/>
    <w:rsid w:val="00FE7EC2"/>
    <w:rsid w:val="00FF63A3"/>
    <w:rsid w:val="00FF6D30"/>
    <w:rsid w:val="00FF793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D8C7F"/>
  <w15:docId w15:val="{03D907C8-320C-46DA-AEFD-BCEF4924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37A"/>
  </w:style>
  <w:style w:type="paragraph" w:styleId="Ttulo1">
    <w:name w:val="heading 1"/>
    <w:basedOn w:val="Normal"/>
    <w:next w:val="Normal"/>
    <w:qFormat/>
    <w:pPr>
      <w:keepNext/>
      <w:outlineLvl w:val="0"/>
    </w:pPr>
    <w:rPr>
      <w:b/>
      <w:bCs/>
      <w:sz w:val="24"/>
    </w:rPr>
  </w:style>
  <w:style w:type="paragraph" w:styleId="Ttulo2">
    <w:name w:val="heading 2"/>
    <w:basedOn w:val="Normal"/>
    <w:next w:val="Normal"/>
    <w:qFormat/>
    <w:pPr>
      <w:keepNext/>
      <w:outlineLvl w:val="1"/>
    </w:pPr>
    <w:rPr>
      <w:i/>
      <w:iCs/>
    </w:rPr>
  </w:style>
  <w:style w:type="paragraph" w:styleId="Ttulo3">
    <w:name w:val="heading 3"/>
    <w:basedOn w:val="Normal"/>
    <w:next w:val="Normal"/>
    <w:qFormat/>
    <w:pPr>
      <w:keepNext/>
      <w:widowControl w:val="0"/>
      <w:overflowPunct w:val="0"/>
      <w:autoSpaceDE w:val="0"/>
      <w:autoSpaceDN w:val="0"/>
      <w:adjustRightInd w:val="0"/>
      <w:jc w:val="both"/>
      <w:textAlignment w:val="baseline"/>
      <w:outlineLvl w:val="2"/>
    </w:pPr>
    <w:rPr>
      <w:b/>
      <w:sz w:val="22"/>
    </w:rPr>
  </w:style>
  <w:style w:type="paragraph" w:styleId="Ttulo4">
    <w:name w:val="heading 4"/>
    <w:basedOn w:val="Normal"/>
    <w:next w:val="Normal"/>
    <w:qFormat/>
    <w:pPr>
      <w:keepNext/>
      <w:jc w:val="both"/>
      <w:outlineLvl w:val="3"/>
    </w:pPr>
    <w:rPr>
      <w:b/>
      <w:bCs/>
      <w:sz w:val="24"/>
    </w:rPr>
  </w:style>
  <w:style w:type="paragraph" w:styleId="Ttulo5">
    <w:name w:val="heading 5"/>
    <w:basedOn w:val="Normal"/>
    <w:next w:val="Normal"/>
    <w:qFormat/>
    <w:pPr>
      <w:keepNext/>
      <w:outlineLvl w:val="4"/>
    </w:pPr>
    <w:rPr>
      <w:b/>
      <w:bCs/>
      <w:sz w:val="22"/>
    </w:rPr>
  </w:style>
  <w:style w:type="paragraph" w:styleId="Ttulo6">
    <w:name w:val="heading 6"/>
    <w:basedOn w:val="Normal"/>
    <w:next w:val="Normal"/>
    <w:qFormat/>
    <w:pPr>
      <w:keepNext/>
      <w:widowControl w:val="0"/>
      <w:pBdr>
        <w:top w:val="single" w:sz="6" w:space="1" w:color="auto"/>
        <w:left w:val="single" w:sz="6" w:space="4" w:color="auto"/>
        <w:bottom w:val="single" w:sz="6" w:space="1" w:color="auto"/>
        <w:right w:val="single" w:sz="6" w:space="4" w:color="auto"/>
      </w:pBdr>
      <w:shd w:val="pct5" w:color="auto" w:fill="auto"/>
      <w:overflowPunct w:val="0"/>
      <w:autoSpaceDE w:val="0"/>
      <w:autoSpaceDN w:val="0"/>
      <w:adjustRightInd w:val="0"/>
      <w:jc w:val="center"/>
      <w:textAlignment w:val="baseline"/>
      <w:outlineLvl w:val="5"/>
    </w:pPr>
    <w:rPr>
      <w:b/>
      <w:sz w:val="24"/>
    </w:rPr>
  </w:style>
  <w:style w:type="paragraph" w:styleId="Ttulo7">
    <w:name w:val="heading 7"/>
    <w:basedOn w:val="Normal"/>
    <w:next w:val="Normal"/>
    <w:qFormat/>
    <w:pPr>
      <w:keepNext/>
      <w:overflowPunct w:val="0"/>
      <w:autoSpaceDE w:val="0"/>
      <w:autoSpaceDN w:val="0"/>
      <w:adjustRightInd w:val="0"/>
      <w:jc w:val="center"/>
      <w:textAlignment w:val="baseline"/>
      <w:outlineLvl w:val="6"/>
    </w:pPr>
    <w:rPr>
      <w:b/>
      <w:i/>
      <w:sz w:val="24"/>
      <w:lang w:val="es-ES_tradnl"/>
    </w:rPr>
  </w:style>
  <w:style w:type="paragraph" w:styleId="Ttulo8">
    <w:name w:val="heading 8"/>
    <w:basedOn w:val="Normal"/>
    <w:next w:val="Normal"/>
    <w:qFormat/>
    <w:pPr>
      <w:keepNext/>
      <w:ind w:right="-1"/>
      <w:jc w:val="both"/>
      <w:outlineLvl w:val="7"/>
    </w:pPr>
    <w:rPr>
      <w:b/>
      <w:bCs/>
      <w:color w:val="800000"/>
      <w:sz w:val="22"/>
      <w:szCs w:val="24"/>
    </w:rPr>
  </w:style>
  <w:style w:type="paragraph" w:styleId="Ttulo9">
    <w:name w:val="heading 9"/>
    <w:basedOn w:val="Normal"/>
    <w:next w:val="Normal"/>
    <w:qFormat/>
    <w:pPr>
      <w:keepNext/>
      <w:jc w:val="center"/>
      <w:outlineLvl w:val="8"/>
    </w:pPr>
    <w:rPr>
      <w:b/>
      <w:bCs/>
      <w:i/>
      <w:iCs/>
      <w:color w:val="800000"/>
      <w:sz w:val="24"/>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jc w:val="center"/>
      <w:textAlignment w:val="baseline"/>
    </w:pPr>
    <w:rPr>
      <w:b/>
      <w:sz w:val="24"/>
      <w:lang w:val="es-ES_tradnl"/>
    </w:rPr>
  </w:style>
  <w:style w:type="paragraph" w:customStyle="1" w:styleId="Textoindependiente21">
    <w:name w:val="Texto independiente 21"/>
    <w:basedOn w:val="Normal"/>
    <w:pPr>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pPr>
    <w:rPr>
      <w:b/>
      <w:sz w:val="28"/>
      <w:lang w:val="es-ES_tradnl"/>
    </w:rPr>
  </w:style>
  <w:style w:type="paragraph" w:styleId="Textoindependiente">
    <w:name w:val="Body Text"/>
    <w:basedOn w:val="Normal"/>
    <w:pPr>
      <w:jc w:val="both"/>
    </w:pPr>
    <w:rPr>
      <w:i/>
      <w:iCs/>
      <w:sz w:val="24"/>
    </w:rPr>
  </w:style>
  <w:style w:type="paragraph" w:styleId="Textoindependiente2">
    <w:name w:val="Body Text 2"/>
    <w:basedOn w:val="Normal"/>
    <w:rPr>
      <w:i/>
      <w:iCs/>
      <w:sz w:val="24"/>
    </w:rPr>
  </w:style>
  <w:style w:type="paragraph" w:styleId="Textoindependiente3">
    <w:name w:val="Body Text 3"/>
    <w:basedOn w:val="Normal"/>
    <w:link w:val="Textoindependiente3Car"/>
    <w:pPr>
      <w:jc w:val="both"/>
    </w:pPr>
    <w:rPr>
      <w:i/>
      <w:iCs/>
      <w:sz w:val="22"/>
      <w:lang w:val="x-none" w:eastAsia="x-none"/>
    </w:rPr>
  </w:style>
  <w:style w:type="paragraph" w:styleId="Sangradetextonormal">
    <w:name w:val="Body Text Indent"/>
    <w:basedOn w:val="Normal"/>
    <w:link w:val="SangradetextonormalCar"/>
    <w:pPr>
      <w:spacing w:after="120"/>
      <w:ind w:left="283"/>
    </w:pPr>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textodestacado">
    <w:name w:val="textodestacado"/>
    <w:basedOn w:val="Normal"/>
    <w:pPr>
      <w:spacing w:before="100" w:beforeAutospacing="1" w:after="100" w:afterAutospacing="1"/>
    </w:pPr>
    <w:rPr>
      <w:rFonts w:ascii="Arial" w:hAnsi="Arial" w:cs="Arial"/>
      <w:color w:val="E60200"/>
      <w:sz w:val="18"/>
      <w:szCs w:val="18"/>
    </w:rPr>
  </w:style>
  <w:style w:type="paragraph" w:customStyle="1" w:styleId="textonormalrojo">
    <w:name w:val="textonormalrojo"/>
    <w:basedOn w:val="Normal"/>
    <w:pPr>
      <w:spacing w:before="100" w:beforeAutospacing="1" w:after="100" w:afterAutospacing="1"/>
    </w:pPr>
    <w:rPr>
      <w:rFonts w:ascii="Verdana" w:hAnsi="Verdana"/>
      <w:color w:val="E60200"/>
      <w:sz w:val="15"/>
      <w:szCs w:val="15"/>
    </w:rPr>
  </w:style>
  <w:style w:type="character" w:styleId="Textoennegrita">
    <w:name w:val="Strong"/>
    <w:qFormat/>
    <w:rPr>
      <w:b/>
      <w:bCs/>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rPr>
  </w:style>
  <w:style w:type="paragraph" w:customStyle="1" w:styleId="Pa6">
    <w:name w:val="Pa6"/>
    <w:basedOn w:val="Normal"/>
    <w:next w:val="Normal"/>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pPr>
      <w:autoSpaceDE w:val="0"/>
      <w:autoSpaceDN w:val="0"/>
      <w:adjustRightInd w:val="0"/>
      <w:spacing w:line="201" w:lineRule="atLeast"/>
    </w:pPr>
    <w:rPr>
      <w:rFonts w:ascii="Arial" w:hAnsi="Arial"/>
      <w:sz w:val="24"/>
      <w:szCs w:val="24"/>
    </w:rPr>
  </w:style>
  <w:style w:type="paragraph" w:customStyle="1" w:styleId="Pa9">
    <w:name w:val="Pa9"/>
    <w:basedOn w:val="Normal"/>
    <w:next w:val="Normal"/>
    <w:pPr>
      <w:autoSpaceDE w:val="0"/>
      <w:autoSpaceDN w:val="0"/>
      <w:adjustRightInd w:val="0"/>
      <w:spacing w:line="201" w:lineRule="atLeast"/>
    </w:pPr>
    <w:rPr>
      <w:rFonts w:ascii="Arial" w:hAnsi="Arial"/>
      <w:sz w:val="24"/>
      <w:szCs w:val="24"/>
    </w:rPr>
  </w:style>
  <w:style w:type="character" w:customStyle="1" w:styleId="ft">
    <w:name w:val="ft"/>
    <w:basedOn w:val="Fuentedeprrafopredeter"/>
    <w:rsid w:val="00614B9E"/>
  </w:style>
  <w:style w:type="paragraph" w:styleId="Revisin">
    <w:name w:val="Revision"/>
    <w:hidden/>
    <w:semiHidden/>
  </w:style>
  <w:style w:type="character" w:customStyle="1" w:styleId="apple-style-span">
    <w:name w:val="apple-style-span"/>
    <w:basedOn w:val="Fuentedeprrafopredeter"/>
    <w:rsid w:val="001103A8"/>
  </w:style>
  <w:style w:type="paragraph" w:customStyle="1" w:styleId="Pa7">
    <w:name w:val="Pa7"/>
    <w:basedOn w:val="Normal"/>
    <w:next w:val="Normal"/>
    <w:rsid w:val="00224A80"/>
    <w:pPr>
      <w:autoSpaceDE w:val="0"/>
      <w:autoSpaceDN w:val="0"/>
      <w:adjustRightInd w:val="0"/>
      <w:spacing w:line="201" w:lineRule="atLeast"/>
    </w:pPr>
    <w:rPr>
      <w:rFonts w:ascii="Arial" w:hAnsi="Arial"/>
      <w:sz w:val="24"/>
      <w:szCs w:val="24"/>
    </w:rPr>
  </w:style>
  <w:style w:type="table" w:styleId="Tablaconcuadrcula">
    <w:name w:val="Table Grid"/>
    <w:basedOn w:val="Tablanormal"/>
    <w:rsid w:val="0035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23B20"/>
  </w:style>
  <w:style w:type="paragraph" w:styleId="Textonotapie">
    <w:name w:val="footnote text"/>
    <w:basedOn w:val="Normal"/>
    <w:link w:val="TextonotapieCar"/>
    <w:rsid w:val="00B82FAF"/>
  </w:style>
  <w:style w:type="character" w:customStyle="1" w:styleId="TextonotapieCar">
    <w:name w:val="Texto nota pie Car"/>
    <w:basedOn w:val="Fuentedeprrafopredeter"/>
    <w:link w:val="Textonotapie"/>
    <w:rsid w:val="00B82FAF"/>
  </w:style>
  <w:style w:type="character" w:styleId="Refdenotaalpie">
    <w:name w:val="footnote reference"/>
    <w:rsid w:val="00B82FAF"/>
    <w:rPr>
      <w:vertAlign w:val="superscript"/>
    </w:rPr>
  </w:style>
  <w:style w:type="paragraph" w:styleId="Prrafodelista">
    <w:name w:val="List Paragraph"/>
    <w:basedOn w:val="Normal"/>
    <w:uiPriority w:val="34"/>
    <w:qFormat/>
    <w:rsid w:val="00217E93"/>
    <w:pPr>
      <w:ind w:left="708"/>
    </w:pPr>
  </w:style>
  <w:style w:type="character" w:customStyle="1" w:styleId="apple-converted-space">
    <w:name w:val="apple-converted-space"/>
    <w:basedOn w:val="Fuentedeprrafopredeter"/>
    <w:rsid w:val="00D63130"/>
  </w:style>
  <w:style w:type="character" w:customStyle="1" w:styleId="Textoindependiente3Car">
    <w:name w:val="Texto independiente 3 Car"/>
    <w:link w:val="Textoindependiente3"/>
    <w:rsid w:val="009428E6"/>
    <w:rPr>
      <w:i/>
      <w:iCs/>
      <w:sz w:val="22"/>
    </w:rPr>
  </w:style>
  <w:style w:type="character" w:customStyle="1" w:styleId="SangradetextonormalCar">
    <w:name w:val="Sangría de texto normal Car"/>
    <w:link w:val="Sangradetextonormal"/>
    <w:rsid w:val="00690AE1"/>
  </w:style>
  <w:style w:type="paragraph" w:customStyle="1" w:styleId="parrafo2">
    <w:name w:val="parrafo_2"/>
    <w:basedOn w:val="Normal"/>
    <w:rsid w:val="009762BA"/>
    <w:pPr>
      <w:spacing w:before="100" w:beforeAutospacing="1" w:after="100" w:afterAutospacing="1"/>
    </w:pPr>
    <w:rPr>
      <w:sz w:val="24"/>
      <w:szCs w:val="24"/>
    </w:rPr>
  </w:style>
  <w:style w:type="paragraph" w:customStyle="1" w:styleId="parrafo">
    <w:name w:val="parrafo"/>
    <w:basedOn w:val="Normal"/>
    <w:rsid w:val="009762BA"/>
    <w:pPr>
      <w:spacing w:before="100" w:beforeAutospacing="1" w:after="100" w:afterAutospacing="1"/>
    </w:pPr>
    <w:rPr>
      <w:sz w:val="24"/>
      <w:szCs w:val="24"/>
    </w:rPr>
  </w:style>
  <w:style w:type="character" w:customStyle="1" w:styleId="Mencinsinresolver1">
    <w:name w:val="Mención sin resolver1"/>
    <w:uiPriority w:val="99"/>
    <w:semiHidden/>
    <w:unhideWhenUsed/>
    <w:rsid w:val="00EF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0455">
      <w:bodyDiv w:val="1"/>
      <w:marLeft w:val="0"/>
      <w:marRight w:val="0"/>
      <w:marTop w:val="0"/>
      <w:marBottom w:val="0"/>
      <w:divBdr>
        <w:top w:val="none" w:sz="0" w:space="0" w:color="auto"/>
        <w:left w:val="none" w:sz="0" w:space="0" w:color="auto"/>
        <w:bottom w:val="none" w:sz="0" w:space="0" w:color="auto"/>
        <w:right w:val="none" w:sz="0" w:space="0" w:color="auto"/>
      </w:divBdr>
    </w:div>
    <w:div w:id="53168838">
      <w:bodyDiv w:val="1"/>
      <w:marLeft w:val="0"/>
      <w:marRight w:val="0"/>
      <w:marTop w:val="0"/>
      <w:marBottom w:val="0"/>
      <w:divBdr>
        <w:top w:val="none" w:sz="0" w:space="0" w:color="auto"/>
        <w:left w:val="none" w:sz="0" w:space="0" w:color="auto"/>
        <w:bottom w:val="none" w:sz="0" w:space="0" w:color="auto"/>
        <w:right w:val="none" w:sz="0" w:space="0" w:color="auto"/>
      </w:divBdr>
    </w:div>
    <w:div w:id="70784239">
      <w:bodyDiv w:val="1"/>
      <w:marLeft w:val="0"/>
      <w:marRight w:val="0"/>
      <w:marTop w:val="0"/>
      <w:marBottom w:val="0"/>
      <w:divBdr>
        <w:top w:val="none" w:sz="0" w:space="0" w:color="auto"/>
        <w:left w:val="none" w:sz="0" w:space="0" w:color="auto"/>
        <w:bottom w:val="none" w:sz="0" w:space="0" w:color="auto"/>
        <w:right w:val="none" w:sz="0" w:space="0" w:color="auto"/>
      </w:divBdr>
    </w:div>
    <w:div w:id="99766181">
      <w:bodyDiv w:val="1"/>
      <w:marLeft w:val="0"/>
      <w:marRight w:val="0"/>
      <w:marTop w:val="0"/>
      <w:marBottom w:val="0"/>
      <w:divBdr>
        <w:top w:val="none" w:sz="0" w:space="0" w:color="auto"/>
        <w:left w:val="none" w:sz="0" w:space="0" w:color="auto"/>
        <w:bottom w:val="none" w:sz="0" w:space="0" w:color="auto"/>
        <w:right w:val="none" w:sz="0" w:space="0" w:color="auto"/>
      </w:divBdr>
    </w:div>
    <w:div w:id="135993986">
      <w:bodyDiv w:val="1"/>
      <w:marLeft w:val="0"/>
      <w:marRight w:val="0"/>
      <w:marTop w:val="0"/>
      <w:marBottom w:val="0"/>
      <w:divBdr>
        <w:top w:val="none" w:sz="0" w:space="0" w:color="auto"/>
        <w:left w:val="none" w:sz="0" w:space="0" w:color="auto"/>
        <w:bottom w:val="none" w:sz="0" w:space="0" w:color="auto"/>
        <w:right w:val="none" w:sz="0" w:space="0" w:color="auto"/>
      </w:divBdr>
    </w:div>
    <w:div w:id="219678896">
      <w:bodyDiv w:val="1"/>
      <w:marLeft w:val="0"/>
      <w:marRight w:val="0"/>
      <w:marTop w:val="0"/>
      <w:marBottom w:val="0"/>
      <w:divBdr>
        <w:top w:val="none" w:sz="0" w:space="0" w:color="auto"/>
        <w:left w:val="none" w:sz="0" w:space="0" w:color="auto"/>
        <w:bottom w:val="none" w:sz="0" w:space="0" w:color="auto"/>
        <w:right w:val="none" w:sz="0" w:space="0" w:color="auto"/>
      </w:divBdr>
      <w:divsChild>
        <w:div w:id="142159746">
          <w:marLeft w:val="0"/>
          <w:marRight w:val="0"/>
          <w:marTop w:val="150"/>
          <w:marBottom w:val="0"/>
          <w:divBdr>
            <w:top w:val="none" w:sz="0" w:space="0" w:color="auto"/>
            <w:left w:val="none" w:sz="0" w:space="0" w:color="auto"/>
            <w:bottom w:val="none" w:sz="0" w:space="0" w:color="auto"/>
            <w:right w:val="none" w:sz="0" w:space="0" w:color="auto"/>
          </w:divBdr>
          <w:divsChild>
            <w:div w:id="897285766">
              <w:marLeft w:val="480"/>
              <w:marRight w:val="480"/>
              <w:marTop w:val="480"/>
              <w:marBottom w:val="480"/>
              <w:divBdr>
                <w:top w:val="single" w:sz="6" w:space="12" w:color="7A2422"/>
                <w:left w:val="single" w:sz="6" w:space="12" w:color="7A2422"/>
                <w:bottom w:val="single" w:sz="6" w:space="12" w:color="7A2422"/>
                <w:right w:val="single" w:sz="6" w:space="12" w:color="7A2422"/>
              </w:divBdr>
            </w:div>
          </w:divsChild>
        </w:div>
        <w:div w:id="814689086">
          <w:marLeft w:val="0"/>
          <w:marRight w:val="0"/>
          <w:marTop w:val="75"/>
          <w:marBottom w:val="0"/>
          <w:divBdr>
            <w:top w:val="none" w:sz="0" w:space="0" w:color="auto"/>
            <w:left w:val="none" w:sz="0" w:space="0" w:color="auto"/>
            <w:bottom w:val="none" w:sz="0" w:space="0" w:color="auto"/>
            <w:right w:val="none" w:sz="0" w:space="0" w:color="auto"/>
          </w:divBdr>
        </w:div>
        <w:div w:id="1787966842">
          <w:marLeft w:val="0"/>
          <w:marRight w:val="0"/>
          <w:marTop w:val="375"/>
          <w:marBottom w:val="0"/>
          <w:divBdr>
            <w:top w:val="none" w:sz="0" w:space="0" w:color="auto"/>
            <w:left w:val="none" w:sz="0" w:space="0" w:color="auto"/>
            <w:bottom w:val="none" w:sz="0" w:space="0" w:color="auto"/>
            <w:right w:val="none" w:sz="0" w:space="0" w:color="auto"/>
          </w:divBdr>
        </w:div>
      </w:divsChild>
    </w:div>
    <w:div w:id="222571279">
      <w:bodyDiv w:val="1"/>
      <w:marLeft w:val="0"/>
      <w:marRight w:val="0"/>
      <w:marTop w:val="0"/>
      <w:marBottom w:val="0"/>
      <w:divBdr>
        <w:top w:val="none" w:sz="0" w:space="0" w:color="auto"/>
        <w:left w:val="none" w:sz="0" w:space="0" w:color="auto"/>
        <w:bottom w:val="none" w:sz="0" w:space="0" w:color="auto"/>
        <w:right w:val="none" w:sz="0" w:space="0" w:color="auto"/>
      </w:divBdr>
    </w:div>
    <w:div w:id="285164294">
      <w:bodyDiv w:val="1"/>
      <w:marLeft w:val="0"/>
      <w:marRight w:val="0"/>
      <w:marTop w:val="0"/>
      <w:marBottom w:val="0"/>
      <w:divBdr>
        <w:top w:val="single" w:sz="2" w:space="0" w:color="CC3640"/>
        <w:left w:val="none" w:sz="0" w:space="0" w:color="auto"/>
        <w:bottom w:val="none" w:sz="0" w:space="0" w:color="auto"/>
        <w:right w:val="none" w:sz="0" w:space="0" w:color="auto"/>
      </w:divBdr>
      <w:divsChild>
        <w:div w:id="1584024188">
          <w:marLeft w:val="0"/>
          <w:marRight w:val="0"/>
          <w:marTop w:val="0"/>
          <w:marBottom w:val="0"/>
          <w:divBdr>
            <w:top w:val="single" w:sz="2" w:space="0" w:color="FF0000"/>
            <w:left w:val="single" w:sz="2" w:space="0" w:color="FF0000"/>
            <w:bottom w:val="single" w:sz="2" w:space="0" w:color="FF0000"/>
            <w:right w:val="single" w:sz="2" w:space="0" w:color="FF0000"/>
          </w:divBdr>
          <w:divsChild>
            <w:div w:id="1119372145">
              <w:marLeft w:val="0"/>
              <w:marRight w:val="0"/>
              <w:marTop w:val="0"/>
              <w:marBottom w:val="0"/>
              <w:divBdr>
                <w:top w:val="none" w:sz="0" w:space="0" w:color="auto"/>
                <w:left w:val="single" w:sz="6" w:space="0" w:color="DDDDDD"/>
                <w:bottom w:val="none" w:sz="0" w:space="0" w:color="auto"/>
                <w:right w:val="none" w:sz="0" w:space="0" w:color="auto"/>
              </w:divBdr>
              <w:divsChild>
                <w:div w:id="1218278230">
                  <w:marLeft w:val="0"/>
                  <w:marRight w:val="0"/>
                  <w:marTop w:val="0"/>
                  <w:marBottom w:val="0"/>
                  <w:divBdr>
                    <w:top w:val="single" w:sz="2" w:space="0" w:color="008000"/>
                    <w:left w:val="single" w:sz="2" w:space="0" w:color="008000"/>
                    <w:bottom w:val="single" w:sz="2" w:space="0" w:color="008000"/>
                    <w:right w:val="single" w:sz="2" w:space="0" w:color="008000"/>
                  </w:divBdr>
                  <w:divsChild>
                    <w:div w:id="36709894">
                      <w:marLeft w:val="0"/>
                      <w:marRight w:val="0"/>
                      <w:marTop w:val="0"/>
                      <w:marBottom w:val="0"/>
                      <w:divBdr>
                        <w:top w:val="none" w:sz="0" w:space="0" w:color="auto"/>
                        <w:left w:val="none" w:sz="0" w:space="0" w:color="auto"/>
                        <w:bottom w:val="none" w:sz="0" w:space="0" w:color="auto"/>
                        <w:right w:val="none" w:sz="0" w:space="0" w:color="auto"/>
                      </w:divBdr>
                      <w:divsChild>
                        <w:div w:id="1957831799">
                          <w:marLeft w:val="0"/>
                          <w:marRight w:val="0"/>
                          <w:marTop w:val="0"/>
                          <w:marBottom w:val="0"/>
                          <w:divBdr>
                            <w:top w:val="none" w:sz="0" w:space="0" w:color="auto"/>
                            <w:left w:val="none" w:sz="0" w:space="0" w:color="auto"/>
                            <w:bottom w:val="none" w:sz="0" w:space="0" w:color="auto"/>
                            <w:right w:val="none" w:sz="0" w:space="0" w:color="auto"/>
                          </w:divBdr>
                          <w:divsChild>
                            <w:div w:id="1087461001">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358707390">
      <w:bodyDiv w:val="1"/>
      <w:marLeft w:val="0"/>
      <w:marRight w:val="0"/>
      <w:marTop w:val="0"/>
      <w:marBottom w:val="0"/>
      <w:divBdr>
        <w:top w:val="none" w:sz="0" w:space="0" w:color="auto"/>
        <w:left w:val="none" w:sz="0" w:space="0" w:color="auto"/>
        <w:bottom w:val="none" w:sz="0" w:space="0" w:color="auto"/>
        <w:right w:val="none" w:sz="0" w:space="0" w:color="auto"/>
      </w:divBdr>
    </w:div>
    <w:div w:id="402262963">
      <w:bodyDiv w:val="1"/>
      <w:marLeft w:val="0"/>
      <w:marRight w:val="0"/>
      <w:marTop w:val="0"/>
      <w:marBottom w:val="0"/>
      <w:divBdr>
        <w:top w:val="single" w:sz="2" w:space="0" w:color="CC3640"/>
        <w:left w:val="none" w:sz="0" w:space="0" w:color="auto"/>
        <w:bottom w:val="none" w:sz="0" w:space="0" w:color="auto"/>
        <w:right w:val="none" w:sz="0" w:space="0" w:color="auto"/>
      </w:divBdr>
      <w:divsChild>
        <w:div w:id="1247613687">
          <w:marLeft w:val="0"/>
          <w:marRight w:val="0"/>
          <w:marTop w:val="0"/>
          <w:marBottom w:val="0"/>
          <w:divBdr>
            <w:top w:val="single" w:sz="2" w:space="0" w:color="FF0000"/>
            <w:left w:val="single" w:sz="2" w:space="0" w:color="FF0000"/>
            <w:bottom w:val="single" w:sz="2" w:space="0" w:color="FF0000"/>
            <w:right w:val="single" w:sz="2" w:space="0" w:color="FF0000"/>
          </w:divBdr>
          <w:divsChild>
            <w:div w:id="1384256709">
              <w:marLeft w:val="0"/>
              <w:marRight w:val="0"/>
              <w:marTop w:val="0"/>
              <w:marBottom w:val="0"/>
              <w:divBdr>
                <w:top w:val="none" w:sz="0" w:space="0" w:color="auto"/>
                <w:left w:val="single" w:sz="6" w:space="0" w:color="DDDDDD"/>
                <w:bottom w:val="none" w:sz="0" w:space="0" w:color="auto"/>
                <w:right w:val="none" w:sz="0" w:space="0" w:color="auto"/>
              </w:divBdr>
              <w:divsChild>
                <w:div w:id="1806846980">
                  <w:marLeft w:val="0"/>
                  <w:marRight w:val="0"/>
                  <w:marTop w:val="0"/>
                  <w:marBottom w:val="0"/>
                  <w:divBdr>
                    <w:top w:val="single" w:sz="2" w:space="0" w:color="008000"/>
                    <w:left w:val="single" w:sz="2" w:space="0" w:color="008000"/>
                    <w:bottom w:val="single" w:sz="2" w:space="0" w:color="008000"/>
                    <w:right w:val="single" w:sz="2" w:space="0" w:color="008000"/>
                  </w:divBdr>
                  <w:divsChild>
                    <w:div w:id="1406756727">
                      <w:marLeft w:val="0"/>
                      <w:marRight w:val="0"/>
                      <w:marTop w:val="0"/>
                      <w:marBottom w:val="0"/>
                      <w:divBdr>
                        <w:top w:val="none" w:sz="0" w:space="0" w:color="auto"/>
                        <w:left w:val="none" w:sz="0" w:space="0" w:color="auto"/>
                        <w:bottom w:val="none" w:sz="0" w:space="0" w:color="auto"/>
                        <w:right w:val="none" w:sz="0" w:space="0" w:color="auto"/>
                      </w:divBdr>
                      <w:divsChild>
                        <w:div w:id="48307734">
                          <w:marLeft w:val="0"/>
                          <w:marRight w:val="0"/>
                          <w:marTop w:val="0"/>
                          <w:marBottom w:val="0"/>
                          <w:divBdr>
                            <w:top w:val="none" w:sz="0" w:space="0" w:color="auto"/>
                            <w:left w:val="none" w:sz="0" w:space="0" w:color="auto"/>
                            <w:bottom w:val="none" w:sz="0" w:space="0" w:color="auto"/>
                            <w:right w:val="none" w:sz="0" w:space="0" w:color="auto"/>
                          </w:divBdr>
                          <w:divsChild>
                            <w:div w:id="172243788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07775130">
      <w:bodyDiv w:val="1"/>
      <w:marLeft w:val="0"/>
      <w:marRight w:val="0"/>
      <w:marTop w:val="0"/>
      <w:marBottom w:val="0"/>
      <w:divBdr>
        <w:top w:val="single" w:sz="2" w:space="0" w:color="CC3640"/>
        <w:left w:val="none" w:sz="0" w:space="0" w:color="auto"/>
        <w:bottom w:val="none" w:sz="0" w:space="0" w:color="auto"/>
        <w:right w:val="none" w:sz="0" w:space="0" w:color="auto"/>
      </w:divBdr>
      <w:divsChild>
        <w:div w:id="305477216">
          <w:marLeft w:val="0"/>
          <w:marRight w:val="0"/>
          <w:marTop w:val="0"/>
          <w:marBottom w:val="0"/>
          <w:divBdr>
            <w:top w:val="single" w:sz="2" w:space="0" w:color="FF0000"/>
            <w:left w:val="single" w:sz="2" w:space="0" w:color="FF0000"/>
            <w:bottom w:val="single" w:sz="2" w:space="0" w:color="FF0000"/>
            <w:right w:val="single" w:sz="2" w:space="0" w:color="FF0000"/>
          </w:divBdr>
          <w:divsChild>
            <w:div w:id="171770567">
              <w:marLeft w:val="0"/>
              <w:marRight w:val="0"/>
              <w:marTop w:val="0"/>
              <w:marBottom w:val="0"/>
              <w:divBdr>
                <w:top w:val="none" w:sz="0" w:space="0" w:color="auto"/>
                <w:left w:val="single" w:sz="6" w:space="0" w:color="DDDDDD"/>
                <w:bottom w:val="none" w:sz="0" w:space="0" w:color="auto"/>
                <w:right w:val="none" w:sz="0" w:space="0" w:color="auto"/>
              </w:divBdr>
              <w:divsChild>
                <w:div w:id="467361105">
                  <w:marLeft w:val="0"/>
                  <w:marRight w:val="0"/>
                  <w:marTop w:val="0"/>
                  <w:marBottom w:val="0"/>
                  <w:divBdr>
                    <w:top w:val="single" w:sz="2" w:space="0" w:color="008000"/>
                    <w:left w:val="single" w:sz="2" w:space="0" w:color="008000"/>
                    <w:bottom w:val="single" w:sz="2" w:space="0" w:color="008000"/>
                    <w:right w:val="single" w:sz="2" w:space="0" w:color="008000"/>
                  </w:divBdr>
                  <w:divsChild>
                    <w:div w:id="158039787">
                      <w:marLeft w:val="0"/>
                      <w:marRight w:val="0"/>
                      <w:marTop w:val="0"/>
                      <w:marBottom w:val="0"/>
                      <w:divBdr>
                        <w:top w:val="none" w:sz="0" w:space="0" w:color="auto"/>
                        <w:left w:val="none" w:sz="0" w:space="0" w:color="auto"/>
                        <w:bottom w:val="none" w:sz="0" w:space="0" w:color="auto"/>
                        <w:right w:val="none" w:sz="0" w:space="0" w:color="auto"/>
                      </w:divBdr>
                      <w:divsChild>
                        <w:div w:id="553464262">
                          <w:marLeft w:val="0"/>
                          <w:marRight w:val="0"/>
                          <w:marTop w:val="0"/>
                          <w:marBottom w:val="0"/>
                          <w:divBdr>
                            <w:top w:val="none" w:sz="0" w:space="0" w:color="auto"/>
                            <w:left w:val="none" w:sz="0" w:space="0" w:color="auto"/>
                            <w:bottom w:val="none" w:sz="0" w:space="0" w:color="auto"/>
                            <w:right w:val="none" w:sz="0" w:space="0" w:color="auto"/>
                          </w:divBdr>
                          <w:divsChild>
                            <w:div w:id="153754695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38108904">
      <w:bodyDiv w:val="1"/>
      <w:marLeft w:val="0"/>
      <w:marRight w:val="0"/>
      <w:marTop w:val="0"/>
      <w:marBottom w:val="0"/>
      <w:divBdr>
        <w:top w:val="single" w:sz="2" w:space="0" w:color="CC3640"/>
        <w:left w:val="none" w:sz="0" w:space="0" w:color="auto"/>
        <w:bottom w:val="none" w:sz="0" w:space="0" w:color="auto"/>
        <w:right w:val="none" w:sz="0" w:space="0" w:color="auto"/>
      </w:divBdr>
      <w:divsChild>
        <w:div w:id="1034228004">
          <w:marLeft w:val="0"/>
          <w:marRight w:val="0"/>
          <w:marTop w:val="0"/>
          <w:marBottom w:val="0"/>
          <w:divBdr>
            <w:top w:val="single" w:sz="2" w:space="0" w:color="FF0000"/>
            <w:left w:val="single" w:sz="2" w:space="0" w:color="FF0000"/>
            <w:bottom w:val="single" w:sz="2" w:space="0" w:color="FF0000"/>
            <w:right w:val="single" w:sz="2" w:space="0" w:color="FF0000"/>
          </w:divBdr>
          <w:divsChild>
            <w:div w:id="93980310">
              <w:marLeft w:val="0"/>
              <w:marRight w:val="0"/>
              <w:marTop w:val="0"/>
              <w:marBottom w:val="0"/>
              <w:divBdr>
                <w:top w:val="none" w:sz="0" w:space="0" w:color="auto"/>
                <w:left w:val="single" w:sz="6" w:space="0" w:color="DDDDDD"/>
                <w:bottom w:val="none" w:sz="0" w:space="0" w:color="auto"/>
                <w:right w:val="none" w:sz="0" w:space="0" w:color="auto"/>
              </w:divBdr>
              <w:divsChild>
                <w:div w:id="647712890">
                  <w:marLeft w:val="0"/>
                  <w:marRight w:val="0"/>
                  <w:marTop w:val="0"/>
                  <w:marBottom w:val="0"/>
                  <w:divBdr>
                    <w:top w:val="single" w:sz="2" w:space="0" w:color="008000"/>
                    <w:left w:val="single" w:sz="2" w:space="0" w:color="008000"/>
                    <w:bottom w:val="single" w:sz="2" w:space="0" w:color="008000"/>
                    <w:right w:val="single" w:sz="2" w:space="0" w:color="008000"/>
                  </w:divBdr>
                  <w:divsChild>
                    <w:div w:id="653877492">
                      <w:marLeft w:val="0"/>
                      <w:marRight w:val="0"/>
                      <w:marTop w:val="0"/>
                      <w:marBottom w:val="0"/>
                      <w:divBdr>
                        <w:top w:val="none" w:sz="0" w:space="0" w:color="auto"/>
                        <w:left w:val="none" w:sz="0" w:space="0" w:color="auto"/>
                        <w:bottom w:val="none" w:sz="0" w:space="0" w:color="auto"/>
                        <w:right w:val="none" w:sz="0" w:space="0" w:color="auto"/>
                      </w:divBdr>
                      <w:divsChild>
                        <w:div w:id="427967464">
                          <w:marLeft w:val="0"/>
                          <w:marRight w:val="0"/>
                          <w:marTop w:val="0"/>
                          <w:marBottom w:val="0"/>
                          <w:divBdr>
                            <w:top w:val="none" w:sz="0" w:space="0" w:color="auto"/>
                            <w:left w:val="none" w:sz="0" w:space="0" w:color="auto"/>
                            <w:bottom w:val="none" w:sz="0" w:space="0" w:color="auto"/>
                            <w:right w:val="none" w:sz="0" w:space="0" w:color="auto"/>
                          </w:divBdr>
                          <w:divsChild>
                            <w:div w:id="206714712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480855976">
      <w:bodyDiv w:val="1"/>
      <w:marLeft w:val="0"/>
      <w:marRight w:val="0"/>
      <w:marTop w:val="0"/>
      <w:marBottom w:val="0"/>
      <w:divBdr>
        <w:top w:val="none" w:sz="0" w:space="0" w:color="auto"/>
        <w:left w:val="none" w:sz="0" w:space="0" w:color="auto"/>
        <w:bottom w:val="none" w:sz="0" w:space="0" w:color="auto"/>
        <w:right w:val="none" w:sz="0" w:space="0" w:color="auto"/>
      </w:divBdr>
    </w:div>
    <w:div w:id="484468136">
      <w:bodyDiv w:val="1"/>
      <w:marLeft w:val="0"/>
      <w:marRight w:val="0"/>
      <w:marTop w:val="0"/>
      <w:marBottom w:val="0"/>
      <w:divBdr>
        <w:top w:val="none" w:sz="0" w:space="0" w:color="auto"/>
        <w:left w:val="none" w:sz="0" w:space="0" w:color="auto"/>
        <w:bottom w:val="none" w:sz="0" w:space="0" w:color="auto"/>
        <w:right w:val="none" w:sz="0" w:space="0" w:color="auto"/>
      </w:divBdr>
    </w:div>
    <w:div w:id="486746668">
      <w:bodyDiv w:val="1"/>
      <w:marLeft w:val="0"/>
      <w:marRight w:val="0"/>
      <w:marTop w:val="0"/>
      <w:marBottom w:val="0"/>
      <w:divBdr>
        <w:top w:val="none" w:sz="0" w:space="0" w:color="auto"/>
        <w:left w:val="none" w:sz="0" w:space="0" w:color="auto"/>
        <w:bottom w:val="none" w:sz="0" w:space="0" w:color="auto"/>
        <w:right w:val="none" w:sz="0" w:space="0" w:color="auto"/>
      </w:divBdr>
    </w:div>
    <w:div w:id="541524725">
      <w:bodyDiv w:val="1"/>
      <w:marLeft w:val="0"/>
      <w:marRight w:val="0"/>
      <w:marTop w:val="0"/>
      <w:marBottom w:val="0"/>
      <w:divBdr>
        <w:top w:val="none" w:sz="0" w:space="0" w:color="auto"/>
        <w:left w:val="none" w:sz="0" w:space="0" w:color="auto"/>
        <w:bottom w:val="none" w:sz="0" w:space="0" w:color="auto"/>
        <w:right w:val="none" w:sz="0" w:space="0" w:color="auto"/>
      </w:divBdr>
    </w:div>
    <w:div w:id="576401667">
      <w:bodyDiv w:val="1"/>
      <w:marLeft w:val="0"/>
      <w:marRight w:val="0"/>
      <w:marTop w:val="0"/>
      <w:marBottom w:val="0"/>
      <w:divBdr>
        <w:top w:val="none" w:sz="0" w:space="0" w:color="auto"/>
        <w:left w:val="none" w:sz="0" w:space="0" w:color="auto"/>
        <w:bottom w:val="none" w:sz="0" w:space="0" w:color="auto"/>
        <w:right w:val="none" w:sz="0" w:space="0" w:color="auto"/>
      </w:divBdr>
    </w:div>
    <w:div w:id="589124189">
      <w:bodyDiv w:val="1"/>
      <w:marLeft w:val="0"/>
      <w:marRight w:val="0"/>
      <w:marTop w:val="0"/>
      <w:marBottom w:val="0"/>
      <w:divBdr>
        <w:top w:val="none" w:sz="0" w:space="0" w:color="auto"/>
        <w:left w:val="none" w:sz="0" w:space="0" w:color="auto"/>
        <w:bottom w:val="none" w:sz="0" w:space="0" w:color="auto"/>
        <w:right w:val="none" w:sz="0" w:space="0" w:color="auto"/>
      </w:divBdr>
    </w:div>
    <w:div w:id="680857430">
      <w:bodyDiv w:val="1"/>
      <w:marLeft w:val="0"/>
      <w:marRight w:val="0"/>
      <w:marTop w:val="0"/>
      <w:marBottom w:val="0"/>
      <w:divBdr>
        <w:top w:val="single" w:sz="2" w:space="0" w:color="CC3640"/>
        <w:left w:val="none" w:sz="0" w:space="0" w:color="auto"/>
        <w:bottom w:val="none" w:sz="0" w:space="0" w:color="auto"/>
        <w:right w:val="none" w:sz="0" w:space="0" w:color="auto"/>
      </w:divBdr>
      <w:divsChild>
        <w:div w:id="1231042174">
          <w:marLeft w:val="0"/>
          <w:marRight w:val="0"/>
          <w:marTop w:val="0"/>
          <w:marBottom w:val="0"/>
          <w:divBdr>
            <w:top w:val="single" w:sz="2" w:space="0" w:color="FF0000"/>
            <w:left w:val="single" w:sz="2" w:space="0" w:color="FF0000"/>
            <w:bottom w:val="single" w:sz="2" w:space="0" w:color="FF0000"/>
            <w:right w:val="single" w:sz="2" w:space="0" w:color="FF0000"/>
          </w:divBdr>
          <w:divsChild>
            <w:div w:id="487134818">
              <w:marLeft w:val="0"/>
              <w:marRight w:val="0"/>
              <w:marTop w:val="0"/>
              <w:marBottom w:val="0"/>
              <w:divBdr>
                <w:top w:val="none" w:sz="0" w:space="0" w:color="auto"/>
                <w:left w:val="single" w:sz="6" w:space="0" w:color="DDDDDD"/>
                <w:bottom w:val="none" w:sz="0" w:space="0" w:color="auto"/>
                <w:right w:val="none" w:sz="0" w:space="0" w:color="auto"/>
              </w:divBdr>
              <w:divsChild>
                <w:div w:id="635640991">
                  <w:marLeft w:val="0"/>
                  <w:marRight w:val="0"/>
                  <w:marTop w:val="0"/>
                  <w:marBottom w:val="0"/>
                  <w:divBdr>
                    <w:top w:val="single" w:sz="2" w:space="0" w:color="008000"/>
                    <w:left w:val="single" w:sz="2" w:space="0" w:color="008000"/>
                    <w:bottom w:val="single" w:sz="2" w:space="0" w:color="008000"/>
                    <w:right w:val="single" w:sz="2" w:space="0" w:color="008000"/>
                  </w:divBdr>
                  <w:divsChild>
                    <w:div w:id="1537309335">
                      <w:marLeft w:val="0"/>
                      <w:marRight w:val="0"/>
                      <w:marTop w:val="0"/>
                      <w:marBottom w:val="0"/>
                      <w:divBdr>
                        <w:top w:val="none" w:sz="0" w:space="0" w:color="auto"/>
                        <w:left w:val="none" w:sz="0" w:space="0" w:color="auto"/>
                        <w:bottom w:val="none" w:sz="0" w:space="0" w:color="auto"/>
                        <w:right w:val="none" w:sz="0" w:space="0" w:color="auto"/>
                      </w:divBdr>
                      <w:divsChild>
                        <w:div w:id="1028675392">
                          <w:marLeft w:val="0"/>
                          <w:marRight w:val="0"/>
                          <w:marTop w:val="0"/>
                          <w:marBottom w:val="0"/>
                          <w:divBdr>
                            <w:top w:val="none" w:sz="0" w:space="0" w:color="auto"/>
                            <w:left w:val="none" w:sz="0" w:space="0" w:color="auto"/>
                            <w:bottom w:val="none" w:sz="0" w:space="0" w:color="auto"/>
                            <w:right w:val="none" w:sz="0" w:space="0" w:color="auto"/>
                          </w:divBdr>
                          <w:divsChild>
                            <w:div w:id="208329107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686635275">
      <w:bodyDiv w:val="1"/>
      <w:marLeft w:val="0"/>
      <w:marRight w:val="0"/>
      <w:marTop w:val="0"/>
      <w:marBottom w:val="0"/>
      <w:divBdr>
        <w:top w:val="none" w:sz="0" w:space="0" w:color="auto"/>
        <w:left w:val="none" w:sz="0" w:space="0" w:color="auto"/>
        <w:bottom w:val="none" w:sz="0" w:space="0" w:color="auto"/>
        <w:right w:val="none" w:sz="0" w:space="0" w:color="auto"/>
      </w:divBdr>
    </w:div>
    <w:div w:id="830486472">
      <w:bodyDiv w:val="1"/>
      <w:marLeft w:val="0"/>
      <w:marRight w:val="0"/>
      <w:marTop w:val="0"/>
      <w:marBottom w:val="0"/>
      <w:divBdr>
        <w:top w:val="none" w:sz="0" w:space="0" w:color="auto"/>
        <w:left w:val="none" w:sz="0" w:space="0" w:color="auto"/>
        <w:bottom w:val="none" w:sz="0" w:space="0" w:color="auto"/>
        <w:right w:val="none" w:sz="0" w:space="0" w:color="auto"/>
      </w:divBdr>
      <w:divsChild>
        <w:div w:id="155072495">
          <w:marLeft w:val="0"/>
          <w:marRight w:val="0"/>
          <w:marTop w:val="0"/>
          <w:marBottom w:val="0"/>
          <w:divBdr>
            <w:top w:val="none" w:sz="0" w:space="0" w:color="auto"/>
            <w:left w:val="none" w:sz="0" w:space="0" w:color="auto"/>
            <w:bottom w:val="none" w:sz="0" w:space="0" w:color="auto"/>
            <w:right w:val="none" w:sz="0" w:space="0" w:color="auto"/>
          </w:divBdr>
        </w:div>
        <w:div w:id="776825803">
          <w:marLeft w:val="0"/>
          <w:marRight w:val="0"/>
          <w:marTop w:val="0"/>
          <w:marBottom w:val="0"/>
          <w:divBdr>
            <w:top w:val="none" w:sz="0" w:space="0" w:color="auto"/>
            <w:left w:val="none" w:sz="0" w:space="0" w:color="auto"/>
            <w:bottom w:val="none" w:sz="0" w:space="0" w:color="auto"/>
            <w:right w:val="none" w:sz="0" w:space="0" w:color="auto"/>
          </w:divBdr>
          <w:divsChild>
            <w:div w:id="1865052843">
              <w:marLeft w:val="0"/>
              <w:marRight w:val="0"/>
              <w:marTop w:val="0"/>
              <w:marBottom w:val="0"/>
              <w:divBdr>
                <w:top w:val="none" w:sz="0" w:space="0" w:color="auto"/>
                <w:left w:val="none" w:sz="0" w:space="0" w:color="auto"/>
                <w:bottom w:val="none" w:sz="0" w:space="0" w:color="auto"/>
                <w:right w:val="none" w:sz="0" w:space="0" w:color="auto"/>
              </w:divBdr>
            </w:div>
          </w:divsChild>
        </w:div>
        <w:div w:id="1310204392">
          <w:marLeft w:val="0"/>
          <w:marRight w:val="0"/>
          <w:marTop w:val="0"/>
          <w:marBottom w:val="120"/>
          <w:divBdr>
            <w:top w:val="none" w:sz="0" w:space="0" w:color="auto"/>
            <w:left w:val="none" w:sz="0" w:space="0" w:color="auto"/>
            <w:bottom w:val="none" w:sz="0" w:space="0" w:color="auto"/>
            <w:right w:val="none" w:sz="0" w:space="0" w:color="auto"/>
          </w:divBdr>
          <w:divsChild>
            <w:div w:id="1849782348">
              <w:marLeft w:val="0"/>
              <w:marRight w:val="0"/>
              <w:marTop w:val="0"/>
              <w:marBottom w:val="0"/>
              <w:divBdr>
                <w:top w:val="none" w:sz="0" w:space="0" w:color="auto"/>
                <w:left w:val="none" w:sz="0" w:space="0" w:color="auto"/>
                <w:bottom w:val="none" w:sz="0" w:space="0" w:color="auto"/>
                <w:right w:val="none" w:sz="0" w:space="0" w:color="auto"/>
              </w:divBdr>
            </w:div>
          </w:divsChild>
        </w:div>
        <w:div w:id="1632633460">
          <w:marLeft w:val="0"/>
          <w:marRight w:val="0"/>
          <w:marTop w:val="0"/>
          <w:marBottom w:val="0"/>
          <w:divBdr>
            <w:top w:val="none" w:sz="0" w:space="0" w:color="auto"/>
            <w:left w:val="none" w:sz="0" w:space="0" w:color="auto"/>
            <w:bottom w:val="none" w:sz="0" w:space="0" w:color="auto"/>
            <w:right w:val="none" w:sz="0" w:space="0" w:color="auto"/>
          </w:divBdr>
          <w:divsChild>
            <w:div w:id="2002275829">
              <w:marLeft w:val="0"/>
              <w:marRight w:val="0"/>
              <w:marTop w:val="0"/>
              <w:marBottom w:val="0"/>
              <w:divBdr>
                <w:top w:val="none" w:sz="0" w:space="0" w:color="auto"/>
                <w:left w:val="none" w:sz="0" w:space="0" w:color="auto"/>
                <w:bottom w:val="none" w:sz="0" w:space="0" w:color="auto"/>
                <w:right w:val="none" w:sz="0" w:space="0" w:color="auto"/>
              </w:divBdr>
            </w:div>
          </w:divsChild>
        </w:div>
        <w:div w:id="1673146161">
          <w:marLeft w:val="0"/>
          <w:marRight w:val="0"/>
          <w:marTop w:val="0"/>
          <w:marBottom w:val="240"/>
          <w:divBdr>
            <w:top w:val="none" w:sz="0" w:space="0" w:color="auto"/>
            <w:left w:val="none" w:sz="0" w:space="0" w:color="auto"/>
            <w:bottom w:val="none" w:sz="0" w:space="0" w:color="auto"/>
            <w:right w:val="none" w:sz="0" w:space="0" w:color="auto"/>
          </w:divBdr>
        </w:div>
      </w:divsChild>
    </w:div>
    <w:div w:id="855968895">
      <w:bodyDiv w:val="1"/>
      <w:marLeft w:val="0"/>
      <w:marRight w:val="0"/>
      <w:marTop w:val="0"/>
      <w:marBottom w:val="0"/>
      <w:divBdr>
        <w:top w:val="single" w:sz="2" w:space="0" w:color="CC3640"/>
        <w:left w:val="none" w:sz="0" w:space="0" w:color="auto"/>
        <w:bottom w:val="none" w:sz="0" w:space="0" w:color="auto"/>
        <w:right w:val="none" w:sz="0" w:space="0" w:color="auto"/>
      </w:divBdr>
      <w:divsChild>
        <w:div w:id="257719222">
          <w:marLeft w:val="0"/>
          <w:marRight w:val="0"/>
          <w:marTop w:val="0"/>
          <w:marBottom w:val="0"/>
          <w:divBdr>
            <w:top w:val="single" w:sz="2" w:space="0" w:color="FF0000"/>
            <w:left w:val="single" w:sz="2" w:space="0" w:color="FF0000"/>
            <w:bottom w:val="single" w:sz="2" w:space="0" w:color="FF0000"/>
            <w:right w:val="single" w:sz="2" w:space="0" w:color="FF0000"/>
          </w:divBdr>
          <w:divsChild>
            <w:div w:id="2013334599">
              <w:marLeft w:val="0"/>
              <w:marRight w:val="0"/>
              <w:marTop w:val="0"/>
              <w:marBottom w:val="0"/>
              <w:divBdr>
                <w:top w:val="none" w:sz="0" w:space="0" w:color="auto"/>
                <w:left w:val="single" w:sz="6" w:space="0" w:color="DDDDDD"/>
                <w:bottom w:val="none" w:sz="0" w:space="0" w:color="auto"/>
                <w:right w:val="none" w:sz="0" w:space="0" w:color="auto"/>
              </w:divBdr>
              <w:divsChild>
                <w:div w:id="370308117">
                  <w:marLeft w:val="0"/>
                  <w:marRight w:val="0"/>
                  <w:marTop w:val="0"/>
                  <w:marBottom w:val="0"/>
                  <w:divBdr>
                    <w:top w:val="single" w:sz="2" w:space="0" w:color="008000"/>
                    <w:left w:val="single" w:sz="2" w:space="0" w:color="008000"/>
                    <w:bottom w:val="single" w:sz="2" w:space="0" w:color="008000"/>
                    <w:right w:val="single" w:sz="2" w:space="0" w:color="008000"/>
                  </w:divBdr>
                  <w:divsChild>
                    <w:div w:id="1149907261">
                      <w:marLeft w:val="0"/>
                      <w:marRight w:val="0"/>
                      <w:marTop w:val="0"/>
                      <w:marBottom w:val="0"/>
                      <w:divBdr>
                        <w:top w:val="none" w:sz="0" w:space="0" w:color="auto"/>
                        <w:left w:val="none" w:sz="0" w:space="0" w:color="auto"/>
                        <w:bottom w:val="none" w:sz="0" w:space="0" w:color="auto"/>
                        <w:right w:val="none" w:sz="0" w:space="0" w:color="auto"/>
                      </w:divBdr>
                      <w:divsChild>
                        <w:div w:id="79103882">
                          <w:marLeft w:val="0"/>
                          <w:marRight w:val="0"/>
                          <w:marTop w:val="0"/>
                          <w:marBottom w:val="0"/>
                          <w:divBdr>
                            <w:top w:val="none" w:sz="0" w:space="0" w:color="auto"/>
                            <w:left w:val="none" w:sz="0" w:space="0" w:color="auto"/>
                            <w:bottom w:val="none" w:sz="0" w:space="0" w:color="auto"/>
                            <w:right w:val="none" w:sz="0" w:space="0" w:color="auto"/>
                          </w:divBdr>
                          <w:divsChild>
                            <w:div w:id="59016577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869338574">
      <w:bodyDiv w:val="1"/>
      <w:marLeft w:val="0"/>
      <w:marRight w:val="0"/>
      <w:marTop w:val="0"/>
      <w:marBottom w:val="0"/>
      <w:divBdr>
        <w:top w:val="none" w:sz="0" w:space="0" w:color="auto"/>
        <w:left w:val="none" w:sz="0" w:space="0" w:color="auto"/>
        <w:bottom w:val="none" w:sz="0" w:space="0" w:color="auto"/>
        <w:right w:val="none" w:sz="0" w:space="0" w:color="auto"/>
      </w:divBdr>
    </w:div>
    <w:div w:id="900024750">
      <w:bodyDiv w:val="1"/>
      <w:marLeft w:val="0"/>
      <w:marRight w:val="0"/>
      <w:marTop w:val="0"/>
      <w:marBottom w:val="0"/>
      <w:divBdr>
        <w:top w:val="none" w:sz="0" w:space="0" w:color="auto"/>
        <w:left w:val="none" w:sz="0" w:space="0" w:color="auto"/>
        <w:bottom w:val="none" w:sz="0" w:space="0" w:color="auto"/>
        <w:right w:val="none" w:sz="0" w:space="0" w:color="auto"/>
      </w:divBdr>
    </w:div>
    <w:div w:id="953635696">
      <w:bodyDiv w:val="1"/>
      <w:marLeft w:val="0"/>
      <w:marRight w:val="0"/>
      <w:marTop w:val="0"/>
      <w:marBottom w:val="0"/>
      <w:divBdr>
        <w:top w:val="none" w:sz="0" w:space="0" w:color="auto"/>
        <w:left w:val="none" w:sz="0" w:space="0" w:color="auto"/>
        <w:bottom w:val="none" w:sz="0" w:space="0" w:color="auto"/>
        <w:right w:val="none" w:sz="0" w:space="0" w:color="auto"/>
      </w:divBdr>
    </w:div>
    <w:div w:id="958342605">
      <w:bodyDiv w:val="1"/>
      <w:marLeft w:val="0"/>
      <w:marRight w:val="0"/>
      <w:marTop w:val="0"/>
      <w:marBottom w:val="0"/>
      <w:divBdr>
        <w:top w:val="none" w:sz="0" w:space="0" w:color="auto"/>
        <w:left w:val="none" w:sz="0" w:space="0" w:color="auto"/>
        <w:bottom w:val="none" w:sz="0" w:space="0" w:color="auto"/>
        <w:right w:val="none" w:sz="0" w:space="0" w:color="auto"/>
      </w:divBdr>
      <w:divsChild>
        <w:div w:id="1447693196">
          <w:marLeft w:val="0"/>
          <w:marRight w:val="0"/>
          <w:marTop w:val="0"/>
          <w:marBottom w:val="0"/>
          <w:divBdr>
            <w:top w:val="single" w:sz="12" w:space="0" w:color="0092F4"/>
            <w:left w:val="none" w:sz="0" w:space="0" w:color="auto"/>
            <w:bottom w:val="none" w:sz="0" w:space="0" w:color="auto"/>
            <w:right w:val="none" w:sz="0" w:space="0" w:color="auto"/>
          </w:divBdr>
          <w:divsChild>
            <w:div w:id="1540893918">
              <w:marLeft w:val="450"/>
              <w:marRight w:val="450"/>
              <w:marTop w:val="150"/>
              <w:marBottom w:val="0"/>
              <w:divBdr>
                <w:top w:val="none" w:sz="0" w:space="0" w:color="auto"/>
                <w:left w:val="none" w:sz="0" w:space="0" w:color="auto"/>
                <w:bottom w:val="none" w:sz="0" w:space="0" w:color="auto"/>
                <w:right w:val="none" w:sz="0" w:space="0" w:color="auto"/>
              </w:divBdr>
              <w:divsChild>
                <w:div w:id="14967207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057130">
          <w:marLeft w:val="0"/>
          <w:marRight w:val="0"/>
          <w:marTop w:val="0"/>
          <w:marBottom w:val="0"/>
          <w:divBdr>
            <w:top w:val="none" w:sz="0" w:space="0" w:color="auto"/>
            <w:left w:val="none" w:sz="0" w:space="0" w:color="auto"/>
            <w:bottom w:val="none" w:sz="0" w:space="0" w:color="auto"/>
            <w:right w:val="none" w:sz="0" w:space="0" w:color="auto"/>
          </w:divBdr>
          <w:divsChild>
            <w:div w:id="1546874193">
              <w:marLeft w:val="0"/>
              <w:marRight w:val="0"/>
              <w:marTop w:val="0"/>
              <w:marBottom w:val="0"/>
              <w:divBdr>
                <w:top w:val="none" w:sz="0" w:space="0" w:color="auto"/>
                <w:left w:val="none" w:sz="0" w:space="0" w:color="auto"/>
                <w:bottom w:val="none" w:sz="0" w:space="0" w:color="auto"/>
                <w:right w:val="none" w:sz="0" w:space="0" w:color="auto"/>
              </w:divBdr>
              <w:divsChild>
                <w:div w:id="314266605">
                  <w:marLeft w:val="0"/>
                  <w:marRight w:val="0"/>
                  <w:marTop w:val="0"/>
                  <w:marBottom w:val="0"/>
                  <w:divBdr>
                    <w:top w:val="none" w:sz="0" w:space="0" w:color="auto"/>
                    <w:left w:val="none" w:sz="0" w:space="0" w:color="auto"/>
                    <w:bottom w:val="none" w:sz="0" w:space="0" w:color="auto"/>
                    <w:right w:val="none" w:sz="0" w:space="0" w:color="auto"/>
                  </w:divBdr>
                  <w:divsChild>
                    <w:div w:id="26226539">
                      <w:marLeft w:val="0"/>
                      <w:marRight w:val="0"/>
                      <w:marTop w:val="0"/>
                      <w:marBottom w:val="0"/>
                      <w:divBdr>
                        <w:top w:val="none" w:sz="0" w:space="0" w:color="auto"/>
                        <w:left w:val="none" w:sz="0" w:space="0" w:color="auto"/>
                        <w:bottom w:val="none" w:sz="0" w:space="0" w:color="auto"/>
                        <w:right w:val="none" w:sz="0" w:space="0" w:color="auto"/>
                      </w:divBdr>
                    </w:div>
                    <w:div w:id="207185411">
                      <w:marLeft w:val="0"/>
                      <w:marRight w:val="0"/>
                      <w:marTop w:val="0"/>
                      <w:marBottom w:val="0"/>
                      <w:divBdr>
                        <w:top w:val="none" w:sz="0" w:space="0" w:color="auto"/>
                        <w:left w:val="none" w:sz="0" w:space="0" w:color="auto"/>
                        <w:bottom w:val="none" w:sz="0" w:space="0" w:color="auto"/>
                        <w:right w:val="none" w:sz="0" w:space="0" w:color="auto"/>
                      </w:divBdr>
                    </w:div>
                    <w:div w:id="219099263">
                      <w:marLeft w:val="0"/>
                      <w:marRight w:val="0"/>
                      <w:marTop w:val="0"/>
                      <w:marBottom w:val="0"/>
                      <w:divBdr>
                        <w:top w:val="none" w:sz="0" w:space="0" w:color="auto"/>
                        <w:left w:val="none" w:sz="0" w:space="0" w:color="auto"/>
                        <w:bottom w:val="none" w:sz="0" w:space="0" w:color="auto"/>
                        <w:right w:val="none" w:sz="0" w:space="0" w:color="auto"/>
                      </w:divBdr>
                    </w:div>
                    <w:div w:id="318582309">
                      <w:marLeft w:val="0"/>
                      <w:marRight w:val="0"/>
                      <w:marTop w:val="0"/>
                      <w:marBottom w:val="0"/>
                      <w:divBdr>
                        <w:top w:val="none" w:sz="0" w:space="0" w:color="auto"/>
                        <w:left w:val="none" w:sz="0" w:space="0" w:color="auto"/>
                        <w:bottom w:val="none" w:sz="0" w:space="0" w:color="auto"/>
                        <w:right w:val="none" w:sz="0" w:space="0" w:color="auto"/>
                      </w:divBdr>
                    </w:div>
                    <w:div w:id="529757067">
                      <w:marLeft w:val="0"/>
                      <w:marRight w:val="0"/>
                      <w:marTop w:val="0"/>
                      <w:marBottom w:val="0"/>
                      <w:divBdr>
                        <w:top w:val="none" w:sz="0" w:space="0" w:color="auto"/>
                        <w:left w:val="none" w:sz="0" w:space="0" w:color="auto"/>
                        <w:bottom w:val="none" w:sz="0" w:space="0" w:color="auto"/>
                        <w:right w:val="none" w:sz="0" w:space="0" w:color="auto"/>
                      </w:divBdr>
                    </w:div>
                    <w:div w:id="594633064">
                      <w:marLeft w:val="0"/>
                      <w:marRight w:val="0"/>
                      <w:marTop w:val="0"/>
                      <w:marBottom w:val="0"/>
                      <w:divBdr>
                        <w:top w:val="none" w:sz="0" w:space="0" w:color="auto"/>
                        <w:left w:val="none" w:sz="0" w:space="0" w:color="auto"/>
                        <w:bottom w:val="none" w:sz="0" w:space="0" w:color="auto"/>
                        <w:right w:val="none" w:sz="0" w:space="0" w:color="auto"/>
                      </w:divBdr>
                    </w:div>
                    <w:div w:id="646931767">
                      <w:marLeft w:val="0"/>
                      <w:marRight w:val="0"/>
                      <w:marTop w:val="0"/>
                      <w:marBottom w:val="0"/>
                      <w:divBdr>
                        <w:top w:val="none" w:sz="0" w:space="0" w:color="auto"/>
                        <w:left w:val="none" w:sz="0" w:space="0" w:color="auto"/>
                        <w:bottom w:val="none" w:sz="0" w:space="0" w:color="auto"/>
                        <w:right w:val="none" w:sz="0" w:space="0" w:color="auto"/>
                      </w:divBdr>
                    </w:div>
                    <w:div w:id="794640191">
                      <w:marLeft w:val="0"/>
                      <w:marRight w:val="0"/>
                      <w:marTop w:val="0"/>
                      <w:marBottom w:val="0"/>
                      <w:divBdr>
                        <w:top w:val="none" w:sz="0" w:space="0" w:color="auto"/>
                        <w:left w:val="none" w:sz="0" w:space="0" w:color="auto"/>
                        <w:bottom w:val="none" w:sz="0" w:space="0" w:color="auto"/>
                        <w:right w:val="none" w:sz="0" w:space="0" w:color="auto"/>
                      </w:divBdr>
                    </w:div>
                    <w:div w:id="877543192">
                      <w:marLeft w:val="0"/>
                      <w:marRight w:val="0"/>
                      <w:marTop w:val="0"/>
                      <w:marBottom w:val="0"/>
                      <w:divBdr>
                        <w:top w:val="none" w:sz="0" w:space="0" w:color="auto"/>
                        <w:left w:val="none" w:sz="0" w:space="0" w:color="auto"/>
                        <w:bottom w:val="none" w:sz="0" w:space="0" w:color="auto"/>
                        <w:right w:val="none" w:sz="0" w:space="0" w:color="auto"/>
                      </w:divBdr>
                    </w:div>
                    <w:div w:id="925068456">
                      <w:marLeft w:val="0"/>
                      <w:marRight w:val="0"/>
                      <w:marTop w:val="0"/>
                      <w:marBottom w:val="0"/>
                      <w:divBdr>
                        <w:top w:val="none" w:sz="0" w:space="0" w:color="auto"/>
                        <w:left w:val="none" w:sz="0" w:space="0" w:color="auto"/>
                        <w:bottom w:val="none" w:sz="0" w:space="0" w:color="auto"/>
                        <w:right w:val="none" w:sz="0" w:space="0" w:color="auto"/>
                      </w:divBdr>
                    </w:div>
                    <w:div w:id="1138886821">
                      <w:marLeft w:val="0"/>
                      <w:marRight w:val="0"/>
                      <w:marTop w:val="0"/>
                      <w:marBottom w:val="0"/>
                      <w:divBdr>
                        <w:top w:val="none" w:sz="0" w:space="0" w:color="auto"/>
                        <w:left w:val="none" w:sz="0" w:space="0" w:color="auto"/>
                        <w:bottom w:val="none" w:sz="0" w:space="0" w:color="auto"/>
                        <w:right w:val="none" w:sz="0" w:space="0" w:color="auto"/>
                      </w:divBdr>
                    </w:div>
                    <w:div w:id="1312097344">
                      <w:marLeft w:val="0"/>
                      <w:marRight w:val="0"/>
                      <w:marTop w:val="0"/>
                      <w:marBottom w:val="0"/>
                      <w:divBdr>
                        <w:top w:val="none" w:sz="0" w:space="0" w:color="auto"/>
                        <w:left w:val="none" w:sz="0" w:space="0" w:color="auto"/>
                        <w:bottom w:val="none" w:sz="0" w:space="0" w:color="auto"/>
                        <w:right w:val="none" w:sz="0" w:space="0" w:color="auto"/>
                      </w:divBdr>
                    </w:div>
                    <w:div w:id="1330255944">
                      <w:marLeft w:val="0"/>
                      <w:marRight w:val="0"/>
                      <w:marTop w:val="0"/>
                      <w:marBottom w:val="0"/>
                      <w:divBdr>
                        <w:top w:val="none" w:sz="0" w:space="0" w:color="auto"/>
                        <w:left w:val="none" w:sz="0" w:space="0" w:color="auto"/>
                        <w:bottom w:val="none" w:sz="0" w:space="0" w:color="auto"/>
                        <w:right w:val="none" w:sz="0" w:space="0" w:color="auto"/>
                      </w:divBdr>
                    </w:div>
                    <w:div w:id="1370376751">
                      <w:marLeft w:val="0"/>
                      <w:marRight w:val="0"/>
                      <w:marTop w:val="0"/>
                      <w:marBottom w:val="0"/>
                      <w:divBdr>
                        <w:top w:val="none" w:sz="0" w:space="0" w:color="auto"/>
                        <w:left w:val="none" w:sz="0" w:space="0" w:color="auto"/>
                        <w:bottom w:val="none" w:sz="0" w:space="0" w:color="auto"/>
                        <w:right w:val="none" w:sz="0" w:space="0" w:color="auto"/>
                      </w:divBdr>
                    </w:div>
                    <w:div w:id="1415206184">
                      <w:marLeft w:val="0"/>
                      <w:marRight w:val="0"/>
                      <w:marTop w:val="0"/>
                      <w:marBottom w:val="0"/>
                      <w:divBdr>
                        <w:top w:val="none" w:sz="0" w:space="0" w:color="auto"/>
                        <w:left w:val="none" w:sz="0" w:space="0" w:color="auto"/>
                        <w:bottom w:val="none" w:sz="0" w:space="0" w:color="auto"/>
                        <w:right w:val="none" w:sz="0" w:space="0" w:color="auto"/>
                      </w:divBdr>
                    </w:div>
                    <w:div w:id="1591306945">
                      <w:marLeft w:val="0"/>
                      <w:marRight w:val="0"/>
                      <w:marTop w:val="0"/>
                      <w:marBottom w:val="0"/>
                      <w:divBdr>
                        <w:top w:val="none" w:sz="0" w:space="0" w:color="auto"/>
                        <w:left w:val="none" w:sz="0" w:space="0" w:color="auto"/>
                        <w:bottom w:val="none" w:sz="0" w:space="0" w:color="auto"/>
                        <w:right w:val="none" w:sz="0" w:space="0" w:color="auto"/>
                      </w:divBdr>
                    </w:div>
                    <w:div w:id="1936205596">
                      <w:marLeft w:val="0"/>
                      <w:marRight w:val="0"/>
                      <w:marTop w:val="0"/>
                      <w:marBottom w:val="0"/>
                      <w:divBdr>
                        <w:top w:val="none" w:sz="0" w:space="0" w:color="auto"/>
                        <w:left w:val="none" w:sz="0" w:space="0" w:color="auto"/>
                        <w:bottom w:val="none" w:sz="0" w:space="0" w:color="auto"/>
                        <w:right w:val="none" w:sz="0" w:space="0" w:color="auto"/>
                      </w:divBdr>
                    </w:div>
                    <w:div w:id="1979719667">
                      <w:marLeft w:val="0"/>
                      <w:marRight w:val="0"/>
                      <w:marTop w:val="0"/>
                      <w:marBottom w:val="0"/>
                      <w:divBdr>
                        <w:top w:val="none" w:sz="0" w:space="0" w:color="auto"/>
                        <w:left w:val="none" w:sz="0" w:space="0" w:color="auto"/>
                        <w:bottom w:val="none" w:sz="0" w:space="0" w:color="auto"/>
                        <w:right w:val="none" w:sz="0" w:space="0" w:color="auto"/>
                      </w:divBdr>
                    </w:div>
                    <w:div w:id="2026058631">
                      <w:marLeft w:val="0"/>
                      <w:marRight w:val="0"/>
                      <w:marTop w:val="0"/>
                      <w:marBottom w:val="0"/>
                      <w:divBdr>
                        <w:top w:val="none" w:sz="0" w:space="0" w:color="auto"/>
                        <w:left w:val="none" w:sz="0" w:space="0" w:color="auto"/>
                        <w:bottom w:val="none" w:sz="0" w:space="0" w:color="auto"/>
                        <w:right w:val="none" w:sz="0" w:space="0" w:color="auto"/>
                      </w:divBdr>
                    </w:div>
                  </w:divsChild>
                </w:div>
                <w:div w:id="455373063">
                  <w:marLeft w:val="0"/>
                  <w:marRight w:val="0"/>
                  <w:marTop w:val="0"/>
                  <w:marBottom w:val="170"/>
                  <w:divBdr>
                    <w:top w:val="none" w:sz="0" w:space="0" w:color="auto"/>
                    <w:left w:val="none" w:sz="0" w:space="0" w:color="auto"/>
                    <w:bottom w:val="none" w:sz="0" w:space="0" w:color="auto"/>
                    <w:right w:val="none" w:sz="0" w:space="0" w:color="auto"/>
                  </w:divBdr>
                  <w:divsChild>
                    <w:div w:id="189270528">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sChild>
        </w:div>
      </w:divsChild>
    </w:div>
    <w:div w:id="994987946">
      <w:bodyDiv w:val="1"/>
      <w:marLeft w:val="0"/>
      <w:marRight w:val="0"/>
      <w:marTop w:val="0"/>
      <w:marBottom w:val="0"/>
      <w:divBdr>
        <w:top w:val="none" w:sz="0" w:space="0" w:color="auto"/>
        <w:left w:val="none" w:sz="0" w:space="0" w:color="auto"/>
        <w:bottom w:val="none" w:sz="0" w:space="0" w:color="auto"/>
        <w:right w:val="none" w:sz="0" w:space="0" w:color="auto"/>
      </w:divBdr>
    </w:div>
    <w:div w:id="1009065651">
      <w:bodyDiv w:val="1"/>
      <w:marLeft w:val="0"/>
      <w:marRight w:val="0"/>
      <w:marTop w:val="0"/>
      <w:marBottom w:val="0"/>
      <w:divBdr>
        <w:top w:val="none" w:sz="0" w:space="0" w:color="auto"/>
        <w:left w:val="none" w:sz="0" w:space="0" w:color="auto"/>
        <w:bottom w:val="none" w:sz="0" w:space="0" w:color="auto"/>
        <w:right w:val="none" w:sz="0" w:space="0" w:color="auto"/>
      </w:divBdr>
    </w:div>
    <w:div w:id="1065107420">
      <w:bodyDiv w:val="1"/>
      <w:marLeft w:val="0"/>
      <w:marRight w:val="0"/>
      <w:marTop w:val="0"/>
      <w:marBottom w:val="0"/>
      <w:divBdr>
        <w:top w:val="none" w:sz="0" w:space="0" w:color="auto"/>
        <w:left w:val="none" w:sz="0" w:space="0" w:color="auto"/>
        <w:bottom w:val="none" w:sz="0" w:space="0" w:color="auto"/>
        <w:right w:val="none" w:sz="0" w:space="0" w:color="auto"/>
      </w:divBdr>
    </w:div>
    <w:div w:id="1088308192">
      <w:bodyDiv w:val="1"/>
      <w:marLeft w:val="0"/>
      <w:marRight w:val="0"/>
      <w:marTop w:val="0"/>
      <w:marBottom w:val="0"/>
      <w:divBdr>
        <w:top w:val="none" w:sz="0" w:space="0" w:color="auto"/>
        <w:left w:val="none" w:sz="0" w:space="0" w:color="auto"/>
        <w:bottom w:val="none" w:sz="0" w:space="0" w:color="auto"/>
        <w:right w:val="none" w:sz="0" w:space="0" w:color="auto"/>
      </w:divBdr>
    </w:div>
    <w:div w:id="1095440802">
      <w:bodyDiv w:val="1"/>
      <w:marLeft w:val="0"/>
      <w:marRight w:val="0"/>
      <w:marTop w:val="0"/>
      <w:marBottom w:val="0"/>
      <w:divBdr>
        <w:top w:val="none" w:sz="0" w:space="0" w:color="auto"/>
        <w:left w:val="none" w:sz="0" w:space="0" w:color="auto"/>
        <w:bottom w:val="none" w:sz="0" w:space="0" w:color="auto"/>
        <w:right w:val="none" w:sz="0" w:space="0" w:color="auto"/>
      </w:divBdr>
    </w:div>
    <w:div w:id="1103495197">
      <w:bodyDiv w:val="1"/>
      <w:marLeft w:val="0"/>
      <w:marRight w:val="0"/>
      <w:marTop w:val="0"/>
      <w:marBottom w:val="0"/>
      <w:divBdr>
        <w:top w:val="none" w:sz="0" w:space="0" w:color="auto"/>
        <w:left w:val="none" w:sz="0" w:space="0" w:color="auto"/>
        <w:bottom w:val="none" w:sz="0" w:space="0" w:color="auto"/>
        <w:right w:val="none" w:sz="0" w:space="0" w:color="auto"/>
      </w:divBdr>
    </w:div>
    <w:div w:id="1125463388">
      <w:bodyDiv w:val="1"/>
      <w:marLeft w:val="0"/>
      <w:marRight w:val="0"/>
      <w:marTop w:val="0"/>
      <w:marBottom w:val="0"/>
      <w:divBdr>
        <w:top w:val="none" w:sz="0" w:space="0" w:color="auto"/>
        <w:left w:val="none" w:sz="0" w:space="0" w:color="auto"/>
        <w:bottom w:val="none" w:sz="0" w:space="0" w:color="auto"/>
        <w:right w:val="none" w:sz="0" w:space="0" w:color="auto"/>
      </w:divBdr>
    </w:div>
    <w:div w:id="1176190255">
      <w:bodyDiv w:val="1"/>
      <w:marLeft w:val="0"/>
      <w:marRight w:val="0"/>
      <w:marTop w:val="0"/>
      <w:marBottom w:val="0"/>
      <w:divBdr>
        <w:top w:val="single" w:sz="2" w:space="0" w:color="CC3640"/>
        <w:left w:val="none" w:sz="0" w:space="0" w:color="auto"/>
        <w:bottom w:val="none" w:sz="0" w:space="0" w:color="auto"/>
        <w:right w:val="none" w:sz="0" w:space="0" w:color="auto"/>
      </w:divBdr>
      <w:divsChild>
        <w:div w:id="256787346">
          <w:marLeft w:val="0"/>
          <w:marRight w:val="0"/>
          <w:marTop w:val="0"/>
          <w:marBottom w:val="0"/>
          <w:divBdr>
            <w:top w:val="single" w:sz="2" w:space="0" w:color="FF0000"/>
            <w:left w:val="single" w:sz="2" w:space="0" w:color="FF0000"/>
            <w:bottom w:val="single" w:sz="2" w:space="0" w:color="FF0000"/>
            <w:right w:val="single" w:sz="2" w:space="0" w:color="FF0000"/>
          </w:divBdr>
          <w:divsChild>
            <w:div w:id="1771201330">
              <w:marLeft w:val="0"/>
              <w:marRight w:val="0"/>
              <w:marTop w:val="0"/>
              <w:marBottom w:val="0"/>
              <w:divBdr>
                <w:top w:val="none" w:sz="0" w:space="0" w:color="auto"/>
                <w:left w:val="single" w:sz="6" w:space="0" w:color="DDDDDD"/>
                <w:bottom w:val="none" w:sz="0" w:space="0" w:color="auto"/>
                <w:right w:val="none" w:sz="0" w:space="0" w:color="auto"/>
              </w:divBdr>
              <w:divsChild>
                <w:div w:id="406923690">
                  <w:marLeft w:val="0"/>
                  <w:marRight w:val="0"/>
                  <w:marTop w:val="0"/>
                  <w:marBottom w:val="0"/>
                  <w:divBdr>
                    <w:top w:val="single" w:sz="2" w:space="0" w:color="008000"/>
                    <w:left w:val="single" w:sz="2" w:space="0" w:color="008000"/>
                    <w:bottom w:val="single" w:sz="2" w:space="0" w:color="008000"/>
                    <w:right w:val="single" w:sz="2" w:space="0" w:color="008000"/>
                  </w:divBdr>
                  <w:divsChild>
                    <w:div w:id="768089537">
                      <w:marLeft w:val="0"/>
                      <w:marRight w:val="0"/>
                      <w:marTop w:val="0"/>
                      <w:marBottom w:val="0"/>
                      <w:divBdr>
                        <w:top w:val="none" w:sz="0" w:space="0" w:color="auto"/>
                        <w:left w:val="none" w:sz="0" w:space="0" w:color="auto"/>
                        <w:bottom w:val="none" w:sz="0" w:space="0" w:color="auto"/>
                        <w:right w:val="none" w:sz="0" w:space="0" w:color="auto"/>
                      </w:divBdr>
                      <w:divsChild>
                        <w:div w:id="1110784032">
                          <w:marLeft w:val="0"/>
                          <w:marRight w:val="0"/>
                          <w:marTop w:val="0"/>
                          <w:marBottom w:val="0"/>
                          <w:divBdr>
                            <w:top w:val="none" w:sz="0" w:space="0" w:color="auto"/>
                            <w:left w:val="none" w:sz="0" w:space="0" w:color="auto"/>
                            <w:bottom w:val="none" w:sz="0" w:space="0" w:color="auto"/>
                            <w:right w:val="none" w:sz="0" w:space="0" w:color="auto"/>
                          </w:divBdr>
                          <w:divsChild>
                            <w:div w:id="200241929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20169289">
      <w:bodyDiv w:val="1"/>
      <w:marLeft w:val="0"/>
      <w:marRight w:val="0"/>
      <w:marTop w:val="0"/>
      <w:marBottom w:val="0"/>
      <w:divBdr>
        <w:top w:val="none" w:sz="0" w:space="0" w:color="auto"/>
        <w:left w:val="none" w:sz="0" w:space="0" w:color="auto"/>
        <w:bottom w:val="none" w:sz="0" w:space="0" w:color="auto"/>
        <w:right w:val="none" w:sz="0" w:space="0" w:color="auto"/>
      </w:divBdr>
    </w:div>
    <w:div w:id="1220631538">
      <w:bodyDiv w:val="1"/>
      <w:marLeft w:val="0"/>
      <w:marRight w:val="0"/>
      <w:marTop w:val="0"/>
      <w:marBottom w:val="0"/>
      <w:divBdr>
        <w:top w:val="none" w:sz="0" w:space="0" w:color="auto"/>
        <w:left w:val="none" w:sz="0" w:space="0" w:color="auto"/>
        <w:bottom w:val="none" w:sz="0" w:space="0" w:color="auto"/>
        <w:right w:val="none" w:sz="0" w:space="0" w:color="auto"/>
      </w:divBdr>
    </w:div>
    <w:div w:id="1226797282">
      <w:bodyDiv w:val="1"/>
      <w:marLeft w:val="0"/>
      <w:marRight w:val="0"/>
      <w:marTop w:val="0"/>
      <w:marBottom w:val="0"/>
      <w:divBdr>
        <w:top w:val="single" w:sz="2" w:space="0" w:color="CC3640"/>
        <w:left w:val="none" w:sz="0" w:space="0" w:color="auto"/>
        <w:bottom w:val="none" w:sz="0" w:space="0" w:color="auto"/>
        <w:right w:val="none" w:sz="0" w:space="0" w:color="auto"/>
      </w:divBdr>
      <w:divsChild>
        <w:div w:id="2143231720">
          <w:marLeft w:val="0"/>
          <w:marRight w:val="0"/>
          <w:marTop w:val="0"/>
          <w:marBottom w:val="0"/>
          <w:divBdr>
            <w:top w:val="single" w:sz="2" w:space="0" w:color="FF0000"/>
            <w:left w:val="single" w:sz="2" w:space="0" w:color="FF0000"/>
            <w:bottom w:val="single" w:sz="2" w:space="0" w:color="FF0000"/>
            <w:right w:val="single" w:sz="2" w:space="0" w:color="FF0000"/>
          </w:divBdr>
          <w:divsChild>
            <w:div w:id="1865704451">
              <w:marLeft w:val="0"/>
              <w:marRight w:val="0"/>
              <w:marTop w:val="0"/>
              <w:marBottom w:val="0"/>
              <w:divBdr>
                <w:top w:val="none" w:sz="0" w:space="0" w:color="auto"/>
                <w:left w:val="single" w:sz="6" w:space="0" w:color="DDDDDD"/>
                <w:bottom w:val="none" w:sz="0" w:space="0" w:color="auto"/>
                <w:right w:val="none" w:sz="0" w:space="0" w:color="auto"/>
              </w:divBdr>
              <w:divsChild>
                <w:div w:id="117377578">
                  <w:marLeft w:val="0"/>
                  <w:marRight w:val="0"/>
                  <w:marTop w:val="0"/>
                  <w:marBottom w:val="0"/>
                  <w:divBdr>
                    <w:top w:val="single" w:sz="2" w:space="0" w:color="008000"/>
                    <w:left w:val="single" w:sz="2" w:space="0" w:color="008000"/>
                    <w:bottom w:val="single" w:sz="2" w:space="0" w:color="008000"/>
                    <w:right w:val="single" w:sz="2" w:space="0" w:color="008000"/>
                  </w:divBdr>
                  <w:divsChild>
                    <w:div w:id="1162888117">
                      <w:marLeft w:val="0"/>
                      <w:marRight w:val="0"/>
                      <w:marTop w:val="0"/>
                      <w:marBottom w:val="0"/>
                      <w:divBdr>
                        <w:top w:val="none" w:sz="0" w:space="0" w:color="auto"/>
                        <w:left w:val="none" w:sz="0" w:space="0" w:color="auto"/>
                        <w:bottom w:val="none" w:sz="0" w:space="0" w:color="auto"/>
                        <w:right w:val="none" w:sz="0" w:space="0" w:color="auto"/>
                      </w:divBdr>
                      <w:divsChild>
                        <w:div w:id="1310941559">
                          <w:marLeft w:val="0"/>
                          <w:marRight w:val="0"/>
                          <w:marTop w:val="0"/>
                          <w:marBottom w:val="0"/>
                          <w:divBdr>
                            <w:top w:val="none" w:sz="0" w:space="0" w:color="auto"/>
                            <w:left w:val="none" w:sz="0" w:space="0" w:color="auto"/>
                            <w:bottom w:val="none" w:sz="0" w:space="0" w:color="auto"/>
                            <w:right w:val="none" w:sz="0" w:space="0" w:color="auto"/>
                          </w:divBdr>
                          <w:divsChild>
                            <w:div w:id="709864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32236728">
      <w:bodyDiv w:val="1"/>
      <w:marLeft w:val="0"/>
      <w:marRight w:val="0"/>
      <w:marTop w:val="0"/>
      <w:marBottom w:val="0"/>
      <w:divBdr>
        <w:top w:val="single" w:sz="2" w:space="0" w:color="CC3640"/>
        <w:left w:val="none" w:sz="0" w:space="0" w:color="auto"/>
        <w:bottom w:val="none" w:sz="0" w:space="0" w:color="auto"/>
        <w:right w:val="none" w:sz="0" w:space="0" w:color="auto"/>
      </w:divBdr>
      <w:divsChild>
        <w:div w:id="1583880486">
          <w:marLeft w:val="0"/>
          <w:marRight w:val="0"/>
          <w:marTop w:val="0"/>
          <w:marBottom w:val="0"/>
          <w:divBdr>
            <w:top w:val="single" w:sz="2" w:space="0" w:color="FF0000"/>
            <w:left w:val="single" w:sz="2" w:space="0" w:color="FF0000"/>
            <w:bottom w:val="single" w:sz="2" w:space="0" w:color="FF0000"/>
            <w:right w:val="single" w:sz="2" w:space="0" w:color="FF0000"/>
          </w:divBdr>
          <w:divsChild>
            <w:div w:id="237830193">
              <w:marLeft w:val="0"/>
              <w:marRight w:val="0"/>
              <w:marTop w:val="0"/>
              <w:marBottom w:val="0"/>
              <w:divBdr>
                <w:top w:val="none" w:sz="0" w:space="0" w:color="auto"/>
                <w:left w:val="single" w:sz="6" w:space="0" w:color="DDDDDD"/>
                <w:bottom w:val="none" w:sz="0" w:space="0" w:color="auto"/>
                <w:right w:val="none" w:sz="0" w:space="0" w:color="auto"/>
              </w:divBdr>
              <w:divsChild>
                <w:div w:id="463355742">
                  <w:marLeft w:val="0"/>
                  <w:marRight w:val="0"/>
                  <w:marTop w:val="0"/>
                  <w:marBottom w:val="0"/>
                  <w:divBdr>
                    <w:top w:val="single" w:sz="2" w:space="0" w:color="008000"/>
                    <w:left w:val="single" w:sz="2" w:space="0" w:color="008000"/>
                    <w:bottom w:val="single" w:sz="2" w:space="0" w:color="008000"/>
                    <w:right w:val="single" w:sz="2" w:space="0" w:color="008000"/>
                  </w:divBdr>
                  <w:divsChild>
                    <w:div w:id="1743137025">
                      <w:marLeft w:val="0"/>
                      <w:marRight w:val="0"/>
                      <w:marTop w:val="0"/>
                      <w:marBottom w:val="0"/>
                      <w:divBdr>
                        <w:top w:val="none" w:sz="0" w:space="0" w:color="auto"/>
                        <w:left w:val="none" w:sz="0" w:space="0" w:color="auto"/>
                        <w:bottom w:val="none" w:sz="0" w:space="0" w:color="auto"/>
                        <w:right w:val="none" w:sz="0" w:space="0" w:color="auto"/>
                      </w:divBdr>
                      <w:divsChild>
                        <w:div w:id="157622277">
                          <w:marLeft w:val="0"/>
                          <w:marRight w:val="0"/>
                          <w:marTop w:val="0"/>
                          <w:marBottom w:val="0"/>
                          <w:divBdr>
                            <w:top w:val="none" w:sz="0" w:space="0" w:color="auto"/>
                            <w:left w:val="none" w:sz="0" w:space="0" w:color="auto"/>
                            <w:bottom w:val="none" w:sz="0" w:space="0" w:color="auto"/>
                            <w:right w:val="none" w:sz="0" w:space="0" w:color="auto"/>
                          </w:divBdr>
                          <w:divsChild>
                            <w:div w:id="33661802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82688180">
      <w:bodyDiv w:val="1"/>
      <w:marLeft w:val="0"/>
      <w:marRight w:val="0"/>
      <w:marTop w:val="0"/>
      <w:marBottom w:val="0"/>
      <w:divBdr>
        <w:top w:val="none" w:sz="0" w:space="0" w:color="auto"/>
        <w:left w:val="none" w:sz="0" w:space="0" w:color="auto"/>
        <w:bottom w:val="none" w:sz="0" w:space="0" w:color="auto"/>
        <w:right w:val="none" w:sz="0" w:space="0" w:color="auto"/>
      </w:divBdr>
    </w:div>
    <w:div w:id="1290470808">
      <w:bodyDiv w:val="1"/>
      <w:marLeft w:val="0"/>
      <w:marRight w:val="0"/>
      <w:marTop w:val="0"/>
      <w:marBottom w:val="0"/>
      <w:divBdr>
        <w:top w:val="single" w:sz="2" w:space="0" w:color="CC3640"/>
        <w:left w:val="none" w:sz="0" w:space="0" w:color="auto"/>
        <w:bottom w:val="none" w:sz="0" w:space="0" w:color="auto"/>
        <w:right w:val="none" w:sz="0" w:space="0" w:color="auto"/>
      </w:divBdr>
      <w:divsChild>
        <w:div w:id="905264761">
          <w:marLeft w:val="0"/>
          <w:marRight w:val="0"/>
          <w:marTop w:val="0"/>
          <w:marBottom w:val="0"/>
          <w:divBdr>
            <w:top w:val="single" w:sz="2" w:space="0" w:color="FF0000"/>
            <w:left w:val="single" w:sz="2" w:space="0" w:color="FF0000"/>
            <w:bottom w:val="single" w:sz="2" w:space="0" w:color="FF0000"/>
            <w:right w:val="single" w:sz="2" w:space="0" w:color="FF0000"/>
          </w:divBdr>
          <w:divsChild>
            <w:div w:id="1791168828">
              <w:marLeft w:val="0"/>
              <w:marRight w:val="0"/>
              <w:marTop w:val="0"/>
              <w:marBottom w:val="0"/>
              <w:divBdr>
                <w:top w:val="none" w:sz="0" w:space="0" w:color="auto"/>
                <w:left w:val="single" w:sz="6" w:space="0" w:color="DDDDDD"/>
                <w:bottom w:val="none" w:sz="0" w:space="0" w:color="auto"/>
                <w:right w:val="none" w:sz="0" w:space="0" w:color="auto"/>
              </w:divBdr>
              <w:divsChild>
                <w:div w:id="1854757086">
                  <w:marLeft w:val="0"/>
                  <w:marRight w:val="0"/>
                  <w:marTop w:val="0"/>
                  <w:marBottom w:val="0"/>
                  <w:divBdr>
                    <w:top w:val="single" w:sz="2" w:space="0" w:color="008000"/>
                    <w:left w:val="single" w:sz="2" w:space="0" w:color="008000"/>
                    <w:bottom w:val="single" w:sz="2" w:space="0" w:color="008000"/>
                    <w:right w:val="single" w:sz="2" w:space="0" w:color="008000"/>
                  </w:divBdr>
                  <w:divsChild>
                    <w:div w:id="1883710052">
                      <w:marLeft w:val="0"/>
                      <w:marRight w:val="0"/>
                      <w:marTop w:val="0"/>
                      <w:marBottom w:val="0"/>
                      <w:divBdr>
                        <w:top w:val="none" w:sz="0" w:space="0" w:color="auto"/>
                        <w:left w:val="none" w:sz="0" w:space="0" w:color="auto"/>
                        <w:bottom w:val="none" w:sz="0" w:space="0" w:color="auto"/>
                        <w:right w:val="none" w:sz="0" w:space="0" w:color="auto"/>
                      </w:divBdr>
                      <w:divsChild>
                        <w:div w:id="1118329785">
                          <w:marLeft w:val="0"/>
                          <w:marRight w:val="0"/>
                          <w:marTop w:val="0"/>
                          <w:marBottom w:val="0"/>
                          <w:divBdr>
                            <w:top w:val="none" w:sz="0" w:space="0" w:color="auto"/>
                            <w:left w:val="none" w:sz="0" w:space="0" w:color="auto"/>
                            <w:bottom w:val="none" w:sz="0" w:space="0" w:color="auto"/>
                            <w:right w:val="none" w:sz="0" w:space="0" w:color="auto"/>
                          </w:divBdr>
                          <w:divsChild>
                            <w:div w:id="124788308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293437835">
      <w:bodyDiv w:val="1"/>
      <w:marLeft w:val="0"/>
      <w:marRight w:val="0"/>
      <w:marTop w:val="0"/>
      <w:marBottom w:val="0"/>
      <w:divBdr>
        <w:top w:val="none" w:sz="0" w:space="0" w:color="auto"/>
        <w:left w:val="none" w:sz="0" w:space="0" w:color="auto"/>
        <w:bottom w:val="none" w:sz="0" w:space="0" w:color="auto"/>
        <w:right w:val="none" w:sz="0" w:space="0" w:color="auto"/>
      </w:divBdr>
      <w:divsChild>
        <w:div w:id="386151683">
          <w:marLeft w:val="0"/>
          <w:marRight w:val="0"/>
          <w:marTop w:val="0"/>
          <w:marBottom w:val="0"/>
          <w:divBdr>
            <w:top w:val="none" w:sz="0" w:space="0" w:color="auto"/>
            <w:left w:val="none" w:sz="0" w:space="0" w:color="auto"/>
            <w:bottom w:val="none" w:sz="0" w:space="0" w:color="auto"/>
            <w:right w:val="none" w:sz="0" w:space="0" w:color="auto"/>
          </w:divBdr>
          <w:divsChild>
            <w:div w:id="866990495">
              <w:marLeft w:val="0"/>
              <w:marRight w:val="0"/>
              <w:marTop w:val="0"/>
              <w:marBottom w:val="0"/>
              <w:divBdr>
                <w:top w:val="none" w:sz="0" w:space="0" w:color="auto"/>
                <w:left w:val="none" w:sz="0" w:space="0" w:color="auto"/>
                <w:bottom w:val="none" w:sz="0" w:space="0" w:color="auto"/>
                <w:right w:val="none" w:sz="0" w:space="0" w:color="auto"/>
              </w:divBdr>
            </w:div>
          </w:divsChild>
        </w:div>
        <w:div w:id="753356334">
          <w:marLeft w:val="0"/>
          <w:marRight w:val="0"/>
          <w:marTop w:val="0"/>
          <w:marBottom w:val="120"/>
          <w:divBdr>
            <w:top w:val="none" w:sz="0" w:space="0" w:color="auto"/>
            <w:left w:val="none" w:sz="0" w:space="0" w:color="auto"/>
            <w:bottom w:val="none" w:sz="0" w:space="0" w:color="auto"/>
            <w:right w:val="none" w:sz="0" w:space="0" w:color="auto"/>
          </w:divBdr>
          <w:divsChild>
            <w:div w:id="2039623928">
              <w:marLeft w:val="0"/>
              <w:marRight w:val="0"/>
              <w:marTop w:val="0"/>
              <w:marBottom w:val="0"/>
              <w:divBdr>
                <w:top w:val="none" w:sz="0" w:space="0" w:color="auto"/>
                <w:left w:val="none" w:sz="0" w:space="0" w:color="auto"/>
                <w:bottom w:val="none" w:sz="0" w:space="0" w:color="auto"/>
                <w:right w:val="none" w:sz="0" w:space="0" w:color="auto"/>
              </w:divBdr>
            </w:div>
          </w:divsChild>
        </w:div>
        <w:div w:id="1077484778">
          <w:marLeft w:val="0"/>
          <w:marRight w:val="0"/>
          <w:marTop w:val="0"/>
          <w:marBottom w:val="0"/>
          <w:divBdr>
            <w:top w:val="none" w:sz="0" w:space="0" w:color="auto"/>
            <w:left w:val="none" w:sz="0" w:space="0" w:color="auto"/>
            <w:bottom w:val="none" w:sz="0" w:space="0" w:color="auto"/>
            <w:right w:val="none" w:sz="0" w:space="0" w:color="auto"/>
          </w:divBdr>
          <w:divsChild>
            <w:div w:id="670715157">
              <w:marLeft w:val="0"/>
              <w:marRight w:val="0"/>
              <w:marTop w:val="0"/>
              <w:marBottom w:val="0"/>
              <w:divBdr>
                <w:top w:val="none" w:sz="0" w:space="0" w:color="auto"/>
                <w:left w:val="none" w:sz="0" w:space="0" w:color="auto"/>
                <w:bottom w:val="none" w:sz="0" w:space="0" w:color="auto"/>
                <w:right w:val="none" w:sz="0" w:space="0" w:color="auto"/>
              </w:divBdr>
            </w:div>
          </w:divsChild>
        </w:div>
        <w:div w:id="1650357574">
          <w:marLeft w:val="0"/>
          <w:marRight w:val="0"/>
          <w:marTop w:val="0"/>
          <w:marBottom w:val="240"/>
          <w:divBdr>
            <w:top w:val="none" w:sz="0" w:space="0" w:color="auto"/>
            <w:left w:val="none" w:sz="0" w:space="0" w:color="auto"/>
            <w:bottom w:val="none" w:sz="0" w:space="0" w:color="auto"/>
            <w:right w:val="none" w:sz="0" w:space="0" w:color="auto"/>
          </w:divBdr>
        </w:div>
        <w:div w:id="1936286697">
          <w:marLeft w:val="0"/>
          <w:marRight w:val="0"/>
          <w:marTop w:val="0"/>
          <w:marBottom w:val="0"/>
          <w:divBdr>
            <w:top w:val="none" w:sz="0" w:space="0" w:color="auto"/>
            <w:left w:val="none" w:sz="0" w:space="0" w:color="auto"/>
            <w:bottom w:val="none" w:sz="0" w:space="0" w:color="auto"/>
            <w:right w:val="none" w:sz="0" w:space="0" w:color="auto"/>
          </w:divBdr>
        </w:div>
      </w:divsChild>
    </w:div>
    <w:div w:id="1327054126">
      <w:bodyDiv w:val="1"/>
      <w:marLeft w:val="0"/>
      <w:marRight w:val="0"/>
      <w:marTop w:val="0"/>
      <w:marBottom w:val="0"/>
      <w:divBdr>
        <w:top w:val="single" w:sz="2" w:space="0" w:color="CC3640"/>
        <w:left w:val="none" w:sz="0" w:space="0" w:color="auto"/>
        <w:bottom w:val="none" w:sz="0" w:space="0" w:color="auto"/>
        <w:right w:val="none" w:sz="0" w:space="0" w:color="auto"/>
      </w:divBdr>
      <w:divsChild>
        <w:div w:id="520046899">
          <w:marLeft w:val="0"/>
          <w:marRight w:val="0"/>
          <w:marTop w:val="0"/>
          <w:marBottom w:val="0"/>
          <w:divBdr>
            <w:top w:val="single" w:sz="2" w:space="0" w:color="FF0000"/>
            <w:left w:val="single" w:sz="2" w:space="0" w:color="FF0000"/>
            <w:bottom w:val="single" w:sz="2" w:space="0" w:color="FF0000"/>
            <w:right w:val="single" w:sz="2" w:space="0" w:color="FF0000"/>
          </w:divBdr>
          <w:divsChild>
            <w:div w:id="340160781">
              <w:marLeft w:val="0"/>
              <w:marRight w:val="0"/>
              <w:marTop w:val="0"/>
              <w:marBottom w:val="0"/>
              <w:divBdr>
                <w:top w:val="none" w:sz="0" w:space="0" w:color="auto"/>
                <w:left w:val="single" w:sz="6" w:space="0" w:color="DDDDDD"/>
                <w:bottom w:val="none" w:sz="0" w:space="0" w:color="auto"/>
                <w:right w:val="none" w:sz="0" w:space="0" w:color="auto"/>
              </w:divBdr>
              <w:divsChild>
                <w:div w:id="818762728">
                  <w:marLeft w:val="0"/>
                  <w:marRight w:val="0"/>
                  <w:marTop w:val="0"/>
                  <w:marBottom w:val="0"/>
                  <w:divBdr>
                    <w:top w:val="single" w:sz="2" w:space="0" w:color="008000"/>
                    <w:left w:val="single" w:sz="2" w:space="0" w:color="008000"/>
                    <w:bottom w:val="single" w:sz="2" w:space="0" w:color="008000"/>
                    <w:right w:val="single" w:sz="2" w:space="0" w:color="008000"/>
                  </w:divBdr>
                  <w:divsChild>
                    <w:div w:id="1909530457">
                      <w:marLeft w:val="0"/>
                      <w:marRight w:val="0"/>
                      <w:marTop w:val="0"/>
                      <w:marBottom w:val="0"/>
                      <w:divBdr>
                        <w:top w:val="none" w:sz="0" w:space="0" w:color="auto"/>
                        <w:left w:val="none" w:sz="0" w:space="0" w:color="auto"/>
                        <w:bottom w:val="none" w:sz="0" w:space="0" w:color="auto"/>
                        <w:right w:val="none" w:sz="0" w:space="0" w:color="auto"/>
                      </w:divBdr>
                      <w:divsChild>
                        <w:div w:id="1315375895">
                          <w:marLeft w:val="0"/>
                          <w:marRight w:val="0"/>
                          <w:marTop w:val="0"/>
                          <w:marBottom w:val="0"/>
                          <w:divBdr>
                            <w:top w:val="none" w:sz="0" w:space="0" w:color="auto"/>
                            <w:left w:val="none" w:sz="0" w:space="0" w:color="auto"/>
                            <w:bottom w:val="none" w:sz="0" w:space="0" w:color="auto"/>
                            <w:right w:val="none" w:sz="0" w:space="0" w:color="auto"/>
                          </w:divBdr>
                          <w:divsChild>
                            <w:div w:id="643970991">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349018939">
      <w:bodyDiv w:val="1"/>
      <w:marLeft w:val="0"/>
      <w:marRight w:val="0"/>
      <w:marTop w:val="0"/>
      <w:marBottom w:val="0"/>
      <w:divBdr>
        <w:top w:val="none" w:sz="0" w:space="0" w:color="auto"/>
        <w:left w:val="none" w:sz="0" w:space="0" w:color="auto"/>
        <w:bottom w:val="none" w:sz="0" w:space="0" w:color="auto"/>
        <w:right w:val="none" w:sz="0" w:space="0" w:color="auto"/>
      </w:divBdr>
    </w:div>
    <w:div w:id="1368599372">
      <w:bodyDiv w:val="1"/>
      <w:marLeft w:val="0"/>
      <w:marRight w:val="0"/>
      <w:marTop w:val="0"/>
      <w:marBottom w:val="0"/>
      <w:divBdr>
        <w:top w:val="single" w:sz="2" w:space="0" w:color="CC3640"/>
        <w:left w:val="none" w:sz="0" w:space="0" w:color="auto"/>
        <w:bottom w:val="none" w:sz="0" w:space="0" w:color="auto"/>
        <w:right w:val="none" w:sz="0" w:space="0" w:color="auto"/>
      </w:divBdr>
      <w:divsChild>
        <w:div w:id="528491638">
          <w:marLeft w:val="0"/>
          <w:marRight w:val="0"/>
          <w:marTop w:val="0"/>
          <w:marBottom w:val="0"/>
          <w:divBdr>
            <w:top w:val="single" w:sz="2" w:space="0" w:color="FF0000"/>
            <w:left w:val="single" w:sz="2" w:space="0" w:color="FF0000"/>
            <w:bottom w:val="single" w:sz="2" w:space="0" w:color="FF0000"/>
            <w:right w:val="single" w:sz="2" w:space="0" w:color="FF0000"/>
          </w:divBdr>
          <w:divsChild>
            <w:div w:id="993681259">
              <w:marLeft w:val="0"/>
              <w:marRight w:val="0"/>
              <w:marTop w:val="0"/>
              <w:marBottom w:val="0"/>
              <w:divBdr>
                <w:top w:val="none" w:sz="0" w:space="0" w:color="auto"/>
                <w:left w:val="single" w:sz="6" w:space="0" w:color="DDDDDD"/>
                <w:bottom w:val="none" w:sz="0" w:space="0" w:color="auto"/>
                <w:right w:val="none" w:sz="0" w:space="0" w:color="auto"/>
              </w:divBdr>
              <w:divsChild>
                <w:div w:id="1082918187">
                  <w:marLeft w:val="0"/>
                  <w:marRight w:val="0"/>
                  <w:marTop w:val="0"/>
                  <w:marBottom w:val="0"/>
                  <w:divBdr>
                    <w:top w:val="single" w:sz="2" w:space="0" w:color="008000"/>
                    <w:left w:val="single" w:sz="2" w:space="0" w:color="008000"/>
                    <w:bottom w:val="single" w:sz="2" w:space="0" w:color="008000"/>
                    <w:right w:val="single" w:sz="2" w:space="0" w:color="008000"/>
                  </w:divBdr>
                  <w:divsChild>
                    <w:div w:id="594557531">
                      <w:marLeft w:val="0"/>
                      <w:marRight w:val="0"/>
                      <w:marTop w:val="0"/>
                      <w:marBottom w:val="0"/>
                      <w:divBdr>
                        <w:top w:val="none" w:sz="0" w:space="0" w:color="auto"/>
                        <w:left w:val="none" w:sz="0" w:space="0" w:color="auto"/>
                        <w:bottom w:val="none" w:sz="0" w:space="0" w:color="auto"/>
                        <w:right w:val="none" w:sz="0" w:space="0" w:color="auto"/>
                      </w:divBdr>
                      <w:divsChild>
                        <w:div w:id="865212151">
                          <w:marLeft w:val="0"/>
                          <w:marRight w:val="0"/>
                          <w:marTop w:val="0"/>
                          <w:marBottom w:val="0"/>
                          <w:divBdr>
                            <w:top w:val="none" w:sz="0" w:space="0" w:color="auto"/>
                            <w:left w:val="none" w:sz="0" w:space="0" w:color="auto"/>
                            <w:bottom w:val="none" w:sz="0" w:space="0" w:color="auto"/>
                            <w:right w:val="none" w:sz="0" w:space="0" w:color="auto"/>
                          </w:divBdr>
                          <w:divsChild>
                            <w:div w:id="158448373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369262971">
      <w:bodyDiv w:val="1"/>
      <w:marLeft w:val="0"/>
      <w:marRight w:val="0"/>
      <w:marTop w:val="0"/>
      <w:marBottom w:val="0"/>
      <w:divBdr>
        <w:top w:val="none" w:sz="0" w:space="0" w:color="auto"/>
        <w:left w:val="none" w:sz="0" w:space="0" w:color="auto"/>
        <w:bottom w:val="none" w:sz="0" w:space="0" w:color="auto"/>
        <w:right w:val="none" w:sz="0" w:space="0" w:color="auto"/>
      </w:divBdr>
    </w:div>
    <w:div w:id="1380129178">
      <w:bodyDiv w:val="1"/>
      <w:marLeft w:val="0"/>
      <w:marRight w:val="0"/>
      <w:marTop w:val="0"/>
      <w:marBottom w:val="0"/>
      <w:divBdr>
        <w:top w:val="none" w:sz="0" w:space="0" w:color="auto"/>
        <w:left w:val="none" w:sz="0" w:space="0" w:color="auto"/>
        <w:bottom w:val="none" w:sz="0" w:space="0" w:color="auto"/>
        <w:right w:val="none" w:sz="0" w:space="0" w:color="auto"/>
      </w:divBdr>
    </w:div>
    <w:div w:id="1395466473">
      <w:bodyDiv w:val="1"/>
      <w:marLeft w:val="0"/>
      <w:marRight w:val="0"/>
      <w:marTop w:val="0"/>
      <w:marBottom w:val="0"/>
      <w:divBdr>
        <w:top w:val="none" w:sz="0" w:space="0" w:color="auto"/>
        <w:left w:val="none" w:sz="0" w:space="0" w:color="auto"/>
        <w:bottom w:val="none" w:sz="0" w:space="0" w:color="auto"/>
        <w:right w:val="none" w:sz="0" w:space="0" w:color="auto"/>
      </w:divBdr>
    </w:div>
    <w:div w:id="1438327914">
      <w:bodyDiv w:val="1"/>
      <w:marLeft w:val="0"/>
      <w:marRight w:val="0"/>
      <w:marTop w:val="0"/>
      <w:marBottom w:val="0"/>
      <w:divBdr>
        <w:top w:val="none" w:sz="0" w:space="0" w:color="auto"/>
        <w:left w:val="none" w:sz="0" w:space="0" w:color="auto"/>
        <w:bottom w:val="none" w:sz="0" w:space="0" w:color="auto"/>
        <w:right w:val="none" w:sz="0" w:space="0" w:color="auto"/>
      </w:divBdr>
    </w:div>
    <w:div w:id="1445536846">
      <w:bodyDiv w:val="1"/>
      <w:marLeft w:val="0"/>
      <w:marRight w:val="0"/>
      <w:marTop w:val="0"/>
      <w:marBottom w:val="0"/>
      <w:divBdr>
        <w:top w:val="single" w:sz="2" w:space="0" w:color="CC3640"/>
        <w:left w:val="none" w:sz="0" w:space="0" w:color="auto"/>
        <w:bottom w:val="none" w:sz="0" w:space="0" w:color="auto"/>
        <w:right w:val="none" w:sz="0" w:space="0" w:color="auto"/>
      </w:divBdr>
      <w:divsChild>
        <w:div w:id="944387528">
          <w:marLeft w:val="0"/>
          <w:marRight w:val="0"/>
          <w:marTop w:val="0"/>
          <w:marBottom w:val="0"/>
          <w:divBdr>
            <w:top w:val="single" w:sz="2" w:space="0" w:color="FF0000"/>
            <w:left w:val="single" w:sz="2" w:space="0" w:color="FF0000"/>
            <w:bottom w:val="single" w:sz="2" w:space="0" w:color="FF0000"/>
            <w:right w:val="single" w:sz="2" w:space="0" w:color="FF0000"/>
          </w:divBdr>
          <w:divsChild>
            <w:div w:id="978270660">
              <w:marLeft w:val="0"/>
              <w:marRight w:val="0"/>
              <w:marTop w:val="0"/>
              <w:marBottom w:val="0"/>
              <w:divBdr>
                <w:top w:val="none" w:sz="0" w:space="0" w:color="auto"/>
                <w:left w:val="single" w:sz="6" w:space="0" w:color="DDDDDD"/>
                <w:bottom w:val="none" w:sz="0" w:space="0" w:color="auto"/>
                <w:right w:val="none" w:sz="0" w:space="0" w:color="auto"/>
              </w:divBdr>
              <w:divsChild>
                <w:div w:id="1038973565">
                  <w:marLeft w:val="0"/>
                  <w:marRight w:val="0"/>
                  <w:marTop w:val="0"/>
                  <w:marBottom w:val="0"/>
                  <w:divBdr>
                    <w:top w:val="single" w:sz="2" w:space="0" w:color="008000"/>
                    <w:left w:val="single" w:sz="2" w:space="0" w:color="008000"/>
                    <w:bottom w:val="single" w:sz="2" w:space="0" w:color="008000"/>
                    <w:right w:val="single" w:sz="2" w:space="0" w:color="008000"/>
                  </w:divBdr>
                  <w:divsChild>
                    <w:div w:id="1681620492">
                      <w:marLeft w:val="0"/>
                      <w:marRight w:val="0"/>
                      <w:marTop w:val="0"/>
                      <w:marBottom w:val="0"/>
                      <w:divBdr>
                        <w:top w:val="none" w:sz="0" w:space="0" w:color="auto"/>
                        <w:left w:val="none" w:sz="0" w:space="0" w:color="auto"/>
                        <w:bottom w:val="none" w:sz="0" w:space="0" w:color="auto"/>
                        <w:right w:val="none" w:sz="0" w:space="0" w:color="auto"/>
                      </w:divBdr>
                      <w:divsChild>
                        <w:div w:id="1327128075">
                          <w:marLeft w:val="0"/>
                          <w:marRight w:val="0"/>
                          <w:marTop w:val="0"/>
                          <w:marBottom w:val="0"/>
                          <w:divBdr>
                            <w:top w:val="none" w:sz="0" w:space="0" w:color="auto"/>
                            <w:left w:val="none" w:sz="0" w:space="0" w:color="auto"/>
                            <w:bottom w:val="none" w:sz="0" w:space="0" w:color="auto"/>
                            <w:right w:val="none" w:sz="0" w:space="0" w:color="auto"/>
                          </w:divBdr>
                          <w:divsChild>
                            <w:div w:id="124603997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461849458">
      <w:bodyDiv w:val="1"/>
      <w:marLeft w:val="0"/>
      <w:marRight w:val="0"/>
      <w:marTop w:val="0"/>
      <w:marBottom w:val="0"/>
      <w:divBdr>
        <w:top w:val="single" w:sz="2" w:space="0" w:color="CC3640"/>
        <w:left w:val="none" w:sz="0" w:space="0" w:color="auto"/>
        <w:bottom w:val="none" w:sz="0" w:space="0" w:color="auto"/>
        <w:right w:val="none" w:sz="0" w:space="0" w:color="auto"/>
      </w:divBdr>
      <w:divsChild>
        <w:div w:id="628366951">
          <w:marLeft w:val="0"/>
          <w:marRight w:val="0"/>
          <w:marTop w:val="0"/>
          <w:marBottom w:val="0"/>
          <w:divBdr>
            <w:top w:val="single" w:sz="2" w:space="0" w:color="FF0000"/>
            <w:left w:val="single" w:sz="2" w:space="0" w:color="FF0000"/>
            <w:bottom w:val="single" w:sz="2" w:space="0" w:color="FF0000"/>
            <w:right w:val="single" w:sz="2" w:space="0" w:color="FF0000"/>
          </w:divBdr>
          <w:divsChild>
            <w:div w:id="2034185848">
              <w:marLeft w:val="0"/>
              <w:marRight w:val="0"/>
              <w:marTop w:val="0"/>
              <w:marBottom w:val="0"/>
              <w:divBdr>
                <w:top w:val="none" w:sz="0" w:space="0" w:color="auto"/>
                <w:left w:val="single" w:sz="6" w:space="0" w:color="DDDDDD"/>
                <w:bottom w:val="none" w:sz="0" w:space="0" w:color="auto"/>
                <w:right w:val="none" w:sz="0" w:space="0" w:color="auto"/>
              </w:divBdr>
              <w:divsChild>
                <w:div w:id="1475944950">
                  <w:marLeft w:val="0"/>
                  <w:marRight w:val="0"/>
                  <w:marTop w:val="0"/>
                  <w:marBottom w:val="0"/>
                  <w:divBdr>
                    <w:top w:val="single" w:sz="2" w:space="0" w:color="008000"/>
                    <w:left w:val="single" w:sz="2" w:space="0" w:color="008000"/>
                    <w:bottom w:val="single" w:sz="2" w:space="0" w:color="008000"/>
                    <w:right w:val="single" w:sz="2" w:space="0" w:color="008000"/>
                  </w:divBdr>
                  <w:divsChild>
                    <w:div w:id="1400976627">
                      <w:marLeft w:val="0"/>
                      <w:marRight w:val="0"/>
                      <w:marTop w:val="0"/>
                      <w:marBottom w:val="0"/>
                      <w:divBdr>
                        <w:top w:val="none" w:sz="0" w:space="0" w:color="auto"/>
                        <w:left w:val="none" w:sz="0" w:space="0" w:color="auto"/>
                        <w:bottom w:val="none" w:sz="0" w:space="0" w:color="auto"/>
                        <w:right w:val="none" w:sz="0" w:space="0" w:color="auto"/>
                      </w:divBdr>
                      <w:divsChild>
                        <w:div w:id="1592811028">
                          <w:marLeft w:val="0"/>
                          <w:marRight w:val="0"/>
                          <w:marTop w:val="0"/>
                          <w:marBottom w:val="0"/>
                          <w:divBdr>
                            <w:top w:val="none" w:sz="0" w:space="0" w:color="auto"/>
                            <w:left w:val="none" w:sz="0" w:space="0" w:color="auto"/>
                            <w:bottom w:val="none" w:sz="0" w:space="0" w:color="auto"/>
                            <w:right w:val="none" w:sz="0" w:space="0" w:color="auto"/>
                          </w:divBdr>
                          <w:divsChild>
                            <w:div w:id="92735259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568032378">
      <w:bodyDiv w:val="1"/>
      <w:marLeft w:val="0"/>
      <w:marRight w:val="0"/>
      <w:marTop w:val="0"/>
      <w:marBottom w:val="0"/>
      <w:divBdr>
        <w:top w:val="none" w:sz="0" w:space="0" w:color="auto"/>
        <w:left w:val="none" w:sz="0" w:space="0" w:color="auto"/>
        <w:bottom w:val="none" w:sz="0" w:space="0" w:color="auto"/>
        <w:right w:val="none" w:sz="0" w:space="0" w:color="auto"/>
      </w:divBdr>
    </w:div>
    <w:div w:id="1572816184">
      <w:bodyDiv w:val="1"/>
      <w:marLeft w:val="0"/>
      <w:marRight w:val="0"/>
      <w:marTop w:val="0"/>
      <w:marBottom w:val="0"/>
      <w:divBdr>
        <w:top w:val="none" w:sz="0" w:space="0" w:color="auto"/>
        <w:left w:val="none" w:sz="0" w:space="0" w:color="auto"/>
        <w:bottom w:val="none" w:sz="0" w:space="0" w:color="auto"/>
        <w:right w:val="none" w:sz="0" w:space="0" w:color="auto"/>
      </w:divBdr>
    </w:div>
    <w:div w:id="1580140918">
      <w:bodyDiv w:val="1"/>
      <w:marLeft w:val="0"/>
      <w:marRight w:val="0"/>
      <w:marTop w:val="0"/>
      <w:marBottom w:val="0"/>
      <w:divBdr>
        <w:top w:val="none" w:sz="0" w:space="0" w:color="auto"/>
        <w:left w:val="none" w:sz="0" w:space="0" w:color="auto"/>
        <w:bottom w:val="none" w:sz="0" w:space="0" w:color="auto"/>
        <w:right w:val="none" w:sz="0" w:space="0" w:color="auto"/>
      </w:divBdr>
    </w:div>
    <w:div w:id="1612862185">
      <w:bodyDiv w:val="1"/>
      <w:marLeft w:val="0"/>
      <w:marRight w:val="0"/>
      <w:marTop w:val="0"/>
      <w:marBottom w:val="0"/>
      <w:divBdr>
        <w:top w:val="none" w:sz="0" w:space="0" w:color="auto"/>
        <w:left w:val="none" w:sz="0" w:space="0" w:color="auto"/>
        <w:bottom w:val="none" w:sz="0" w:space="0" w:color="auto"/>
        <w:right w:val="none" w:sz="0" w:space="0" w:color="auto"/>
      </w:divBdr>
    </w:div>
    <w:div w:id="1635527091">
      <w:bodyDiv w:val="1"/>
      <w:marLeft w:val="0"/>
      <w:marRight w:val="0"/>
      <w:marTop w:val="0"/>
      <w:marBottom w:val="0"/>
      <w:divBdr>
        <w:top w:val="none" w:sz="0" w:space="0" w:color="auto"/>
        <w:left w:val="none" w:sz="0" w:space="0" w:color="auto"/>
        <w:bottom w:val="none" w:sz="0" w:space="0" w:color="auto"/>
        <w:right w:val="none" w:sz="0" w:space="0" w:color="auto"/>
      </w:divBdr>
    </w:div>
    <w:div w:id="1639339567">
      <w:bodyDiv w:val="1"/>
      <w:marLeft w:val="0"/>
      <w:marRight w:val="0"/>
      <w:marTop w:val="0"/>
      <w:marBottom w:val="0"/>
      <w:divBdr>
        <w:top w:val="none" w:sz="0" w:space="0" w:color="auto"/>
        <w:left w:val="none" w:sz="0" w:space="0" w:color="auto"/>
        <w:bottom w:val="none" w:sz="0" w:space="0" w:color="auto"/>
        <w:right w:val="none" w:sz="0" w:space="0" w:color="auto"/>
      </w:divBdr>
    </w:div>
    <w:div w:id="1653563533">
      <w:bodyDiv w:val="1"/>
      <w:marLeft w:val="0"/>
      <w:marRight w:val="0"/>
      <w:marTop w:val="0"/>
      <w:marBottom w:val="0"/>
      <w:divBdr>
        <w:top w:val="none" w:sz="0" w:space="0" w:color="auto"/>
        <w:left w:val="none" w:sz="0" w:space="0" w:color="auto"/>
        <w:bottom w:val="none" w:sz="0" w:space="0" w:color="auto"/>
        <w:right w:val="none" w:sz="0" w:space="0" w:color="auto"/>
      </w:divBdr>
      <w:divsChild>
        <w:div w:id="1821844635">
          <w:marLeft w:val="0"/>
          <w:marRight w:val="0"/>
          <w:marTop w:val="0"/>
          <w:marBottom w:val="0"/>
          <w:divBdr>
            <w:top w:val="none" w:sz="0" w:space="0" w:color="auto"/>
            <w:left w:val="none" w:sz="0" w:space="0" w:color="auto"/>
            <w:bottom w:val="none" w:sz="0" w:space="0" w:color="auto"/>
            <w:right w:val="none" w:sz="0" w:space="0" w:color="auto"/>
          </w:divBdr>
          <w:divsChild>
            <w:div w:id="471018925">
              <w:marLeft w:val="0"/>
              <w:marRight w:val="0"/>
              <w:marTop w:val="0"/>
              <w:marBottom w:val="360"/>
              <w:divBdr>
                <w:top w:val="none" w:sz="0" w:space="0" w:color="auto"/>
                <w:left w:val="none" w:sz="0" w:space="0" w:color="auto"/>
                <w:bottom w:val="none" w:sz="0" w:space="0" w:color="auto"/>
                <w:right w:val="none" w:sz="0" w:space="0" w:color="auto"/>
              </w:divBdr>
              <w:divsChild>
                <w:div w:id="1217398128">
                  <w:marLeft w:val="0"/>
                  <w:marRight w:val="0"/>
                  <w:marTop w:val="0"/>
                  <w:marBottom w:val="0"/>
                  <w:divBdr>
                    <w:top w:val="none" w:sz="0" w:space="0" w:color="auto"/>
                    <w:left w:val="none" w:sz="0" w:space="0" w:color="auto"/>
                    <w:bottom w:val="none" w:sz="0" w:space="0" w:color="auto"/>
                    <w:right w:val="none" w:sz="0" w:space="0" w:color="auto"/>
                  </w:divBdr>
                  <w:divsChild>
                    <w:div w:id="916135796">
                      <w:marLeft w:val="0"/>
                      <w:marRight w:val="0"/>
                      <w:marTop w:val="0"/>
                      <w:marBottom w:val="0"/>
                      <w:divBdr>
                        <w:top w:val="none" w:sz="0" w:space="0" w:color="auto"/>
                        <w:left w:val="none" w:sz="0" w:space="0" w:color="auto"/>
                        <w:bottom w:val="none" w:sz="0" w:space="0" w:color="auto"/>
                        <w:right w:val="none" w:sz="0" w:space="0" w:color="auto"/>
                      </w:divBdr>
                      <w:divsChild>
                        <w:div w:id="309137797">
                          <w:marLeft w:val="0"/>
                          <w:marRight w:val="0"/>
                          <w:marTop w:val="0"/>
                          <w:marBottom w:val="0"/>
                          <w:divBdr>
                            <w:top w:val="none" w:sz="0" w:space="0" w:color="auto"/>
                            <w:left w:val="none" w:sz="0" w:space="0" w:color="auto"/>
                            <w:bottom w:val="none" w:sz="0" w:space="0" w:color="auto"/>
                            <w:right w:val="none" w:sz="0" w:space="0" w:color="auto"/>
                          </w:divBdr>
                          <w:divsChild>
                            <w:div w:id="1262953011">
                              <w:marLeft w:val="0"/>
                              <w:marRight w:val="0"/>
                              <w:marTop w:val="0"/>
                              <w:marBottom w:val="0"/>
                              <w:divBdr>
                                <w:top w:val="none" w:sz="0" w:space="0" w:color="auto"/>
                                <w:left w:val="none" w:sz="0" w:space="0" w:color="auto"/>
                                <w:bottom w:val="none" w:sz="0" w:space="0" w:color="auto"/>
                                <w:right w:val="none" w:sz="0" w:space="0" w:color="auto"/>
                              </w:divBdr>
                              <w:divsChild>
                                <w:div w:id="2281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626834">
      <w:bodyDiv w:val="1"/>
      <w:marLeft w:val="0"/>
      <w:marRight w:val="0"/>
      <w:marTop w:val="0"/>
      <w:marBottom w:val="0"/>
      <w:divBdr>
        <w:top w:val="none" w:sz="0" w:space="0" w:color="auto"/>
        <w:left w:val="none" w:sz="0" w:space="0" w:color="auto"/>
        <w:bottom w:val="none" w:sz="0" w:space="0" w:color="auto"/>
        <w:right w:val="none" w:sz="0" w:space="0" w:color="auto"/>
      </w:divBdr>
    </w:div>
    <w:div w:id="1683126452">
      <w:bodyDiv w:val="1"/>
      <w:marLeft w:val="0"/>
      <w:marRight w:val="0"/>
      <w:marTop w:val="0"/>
      <w:marBottom w:val="0"/>
      <w:divBdr>
        <w:top w:val="single" w:sz="2" w:space="0" w:color="CC3640"/>
        <w:left w:val="none" w:sz="0" w:space="0" w:color="auto"/>
        <w:bottom w:val="none" w:sz="0" w:space="0" w:color="auto"/>
        <w:right w:val="none" w:sz="0" w:space="0" w:color="auto"/>
      </w:divBdr>
      <w:divsChild>
        <w:div w:id="1818958215">
          <w:marLeft w:val="0"/>
          <w:marRight w:val="0"/>
          <w:marTop w:val="0"/>
          <w:marBottom w:val="0"/>
          <w:divBdr>
            <w:top w:val="single" w:sz="2" w:space="0" w:color="FF0000"/>
            <w:left w:val="single" w:sz="2" w:space="0" w:color="FF0000"/>
            <w:bottom w:val="single" w:sz="2" w:space="0" w:color="FF0000"/>
            <w:right w:val="single" w:sz="2" w:space="0" w:color="FF0000"/>
          </w:divBdr>
          <w:divsChild>
            <w:div w:id="1286697614">
              <w:marLeft w:val="0"/>
              <w:marRight w:val="0"/>
              <w:marTop w:val="0"/>
              <w:marBottom w:val="0"/>
              <w:divBdr>
                <w:top w:val="none" w:sz="0" w:space="0" w:color="auto"/>
                <w:left w:val="single" w:sz="6" w:space="0" w:color="DDDDDD"/>
                <w:bottom w:val="none" w:sz="0" w:space="0" w:color="auto"/>
                <w:right w:val="none" w:sz="0" w:space="0" w:color="auto"/>
              </w:divBdr>
              <w:divsChild>
                <w:div w:id="1041586534">
                  <w:marLeft w:val="0"/>
                  <w:marRight w:val="0"/>
                  <w:marTop w:val="0"/>
                  <w:marBottom w:val="0"/>
                  <w:divBdr>
                    <w:top w:val="single" w:sz="2" w:space="0" w:color="008000"/>
                    <w:left w:val="single" w:sz="2" w:space="0" w:color="008000"/>
                    <w:bottom w:val="single" w:sz="2" w:space="0" w:color="008000"/>
                    <w:right w:val="single" w:sz="2" w:space="0" w:color="008000"/>
                  </w:divBdr>
                  <w:divsChild>
                    <w:div w:id="1833788538">
                      <w:marLeft w:val="0"/>
                      <w:marRight w:val="0"/>
                      <w:marTop w:val="0"/>
                      <w:marBottom w:val="0"/>
                      <w:divBdr>
                        <w:top w:val="none" w:sz="0" w:space="0" w:color="auto"/>
                        <w:left w:val="none" w:sz="0" w:space="0" w:color="auto"/>
                        <w:bottom w:val="none" w:sz="0" w:space="0" w:color="auto"/>
                        <w:right w:val="none" w:sz="0" w:space="0" w:color="auto"/>
                      </w:divBdr>
                      <w:divsChild>
                        <w:div w:id="1229733592">
                          <w:marLeft w:val="0"/>
                          <w:marRight w:val="0"/>
                          <w:marTop w:val="0"/>
                          <w:marBottom w:val="0"/>
                          <w:divBdr>
                            <w:top w:val="none" w:sz="0" w:space="0" w:color="auto"/>
                            <w:left w:val="none" w:sz="0" w:space="0" w:color="auto"/>
                            <w:bottom w:val="none" w:sz="0" w:space="0" w:color="auto"/>
                            <w:right w:val="none" w:sz="0" w:space="0" w:color="auto"/>
                          </w:divBdr>
                          <w:divsChild>
                            <w:div w:id="190672466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745638310">
      <w:bodyDiv w:val="1"/>
      <w:marLeft w:val="0"/>
      <w:marRight w:val="0"/>
      <w:marTop w:val="0"/>
      <w:marBottom w:val="0"/>
      <w:divBdr>
        <w:top w:val="none" w:sz="0" w:space="0" w:color="auto"/>
        <w:left w:val="none" w:sz="0" w:space="0" w:color="auto"/>
        <w:bottom w:val="none" w:sz="0" w:space="0" w:color="auto"/>
        <w:right w:val="none" w:sz="0" w:space="0" w:color="auto"/>
      </w:divBdr>
    </w:div>
    <w:div w:id="1752462613">
      <w:bodyDiv w:val="1"/>
      <w:marLeft w:val="0"/>
      <w:marRight w:val="0"/>
      <w:marTop w:val="0"/>
      <w:marBottom w:val="0"/>
      <w:divBdr>
        <w:top w:val="none" w:sz="0" w:space="0" w:color="auto"/>
        <w:left w:val="none" w:sz="0" w:space="0" w:color="auto"/>
        <w:bottom w:val="none" w:sz="0" w:space="0" w:color="auto"/>
        <w:right w:val="none" w:sz="0" w:space="0" w:color="auto"/>
      </w:divBdr>
    </w:div>
    <w:div w:id="1766879534">
      <w:bodyDiv w:val="1"/>
      <w:marLeft w:val="0"/>
      <w:marRight w:val="0"/>
      <w:marTop w:val="0"/>
      <w:marBottom w:val="0"/>
      <w:divBdr>
        <w:top w:val="none" w:sz="0" w:space="0" w:color="auto"/>
        <w:left w:val="none" w:sz="0" w:space="0" w:color="auto"/>
        <w:bottom w:val="none" w:sz="0" w:space="0" w:color="auto"/>
        <w:right w:val="none" w:sz="0" w:space="0" w:color="auto"/>
      </w:divBdr>
      <w:divsChild>
        <w:div w:id="1857771015">
          <w:marLeft w:val="0"/>
          <w:marRight w:val="0"/>
          <w:marTop w:val="0"/>
          <w:marBottom w:val="0"/>
          <w:divBdr>
            <w:top w:val="none" w:sz="0" w:space="0" w:color="auto"/>
            <w:left w:val="none" w:sz="0" w:space="0" w:color="auto"/>
            <w:bottom w:val="none" w:sz="0" w:space="0" w:color="auto"/>
            <w:right w:val="none" w:sz="0" w:space="0" w:color="auto"/>
          </w:divBdr>
          <w:divsChild>
            <w:div w:id="280303640">
              <w:marLeft w:val="0"/>
              <w:marRight w:val="0"/>
              <w:marTop w:val="0"/>
              <w:marBottom w:val="0"/>
              <w:divBdr>
                <w:top w:val="none" w:sz="0" w:space="0" w:color="auto"/>
                <w:left w:val="none" w:sz="0" w:space="0" w:color="auto"/>
                <w:bottom w:val="none" w:sz="0" w:space="0" w:color="auto"/>
                <w:right w:val="none" w:sz="0" w:space="0" w:color="auto"/>
              </w:divBdr>
              <w:divsChild>
                <w:div w:id="469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533">
          <w:marLeft w:val="0"/>
          <w:marRight w:val="0"/>
          <w:marTop w:val="0"/>
          <w:marBottom w:val="0"/>
          <w:divBdr>
            <w:top w:val="none" w:sz="0" w:space="0" w:color="auto"/>
            <w:left w:val="none" w:sz="0" w:space="0" w:color="auto"/>
            <w:bottom w:val="none" w:sz="0" w:space="0" w:color="auto"/>
            <w:right w:val="none" w:sz="0" w:space="0" w:color="auto"/>
          </w:divBdr>
          <w:divsChild>
            <w:div w:id="1340424993">
              <w:marLeft w:val="0"/>
              <w:marRight w:val="0"/>
              <w:marTop w:val="0"/>
              <w:marBottom w:val="0"/>
              <w:divBdr>
                <w:top w:val="none" w:sz="0" w:space="0" w:color="auto"/>
                <w:left w:val="none" w:sz="0" w:space="0" w:color="auto"/>
                <w:bottom w:val="none" w:sz="0" w:space="0" w:color="auto"/>
                <w:right w:val="none" w:sz="0" w:space="0" w:color="auto"/>
              </w:divBdr>
              <w:divsChild>
                <w:div w:id="748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7904">
      <w:bodyDiv w:val="1"/>
      <w:marLeft w:val="0"/>
      <w:marRight w:val="0"/>
      <w:marTop w:val="0"/>
      <w:marBottom w:val="0"/>
      <w:divBdr>
        <w:top w:val="none" w:sz="0" w:space="0" w:color="auto"/>
        <w:left w:val="none" w:sz="0" w:space="0" w:color="auto"/>
        <w:bottom w:val="none" w:sz="0" w:space="0" w:color="auto"/>
        <w:right w:val="none" w:sz="0" w:space="0" w:color="auto"/>
      </w:divBdr>
    </w:div>
    <w:div w:id="1785342163">
      <w:bodyDiv w:val="1"/>
      <w:marLeft w:val="0"/>
      <w:marRight w:val="0"/>
      <w:marTop w:val="0"/>
      <w:marBottom w:val="0"/>
      <w:divBdr>
        <w:top w:val="none" w:sz="0" w:space="0" w:color="auto"/>
        <w:left w:val="none" w:sz="0" w:space="0" w:color="auto"/>
        <w:bottom w:val="none" w:sz="0" w:space="0" w:color="auto"/>
        <w:right w:val="none" w:sz="0" w:space="0" w:color="auto"/>
      </w:divBdr>
      <w:divsChild>
        <w:div w:id="1122266796">
          <w:marLeft w:val="0"/>
          <w:marRight w:val="0"/>
          <w:marTop w:val="0"/>
          <w:marBottom w:val="0"/>
          <w:divBdr>
            <w:top w:val="none" w:sz="0" w:space="0" w:color="auto"/>
            <w:left w:val="none" w:sz="0" w:space="0" w:color="auto"/>
            <w:bottom w:val="none" w:sz="0" w:space="0" w:color="auto"/>
            <w:right w:val="none" w:sz="0" w:space="0" w:color="auto"/>
          </w:divBdr>
          <w:divsChild>
            <w:div w:id="269627210">
              <w:marLeft w:val="0"/>
              <w:marRight w:val="0"/>
              <w:marTop w:val="0"/>
              <w:marBottom w:val="0"/>
              <w:divBdr>
                <w:top w:val="none" w:sz="0" w:space="0" w:color="auto"/>
                <w:left w:val="none" w:sz="0" w:space="0" w:color="auto"/>
                <w:bottom w:val="none" w:sz="0" w:space="0" w:color="auto"/>
                <w:right w:val="none" w:sz="0" w:space="0" w:color="auto"/>
              </w:divBdr>
            </w:div>
            <w:div w:id="1311638380">
              <w:marLeft w:val="0"/>
              <w:marRight w:val="0"/>
              <w:marTop w:val="0"/>
              <w:marBottom w:val="0"/>
              <w:divBdr>
                <w:top w:val="none" w:sz="0" w:space="0" w:color="auto"/>
                <w:left w:val="none" w:sz="0" w:space="0" w:color="auto"/>
                <w:bottom w:val="none" w:sz="0" w:space="0" w:color="auto"/>
                <w:right w:val="none" w:sz="0" w:space="0" w:color="auto"/>
              </w:divBdr>
            </w:div>
            <w:div w:id="1580362016">
              <w:marLeft w:val="0"/>
              <w:marRight w:val="0"/>
              <w:marTop w:val="0"/>
              <w:marBottom w:val="0"/>
              <w:divBdr>
                <w:top w:val="none" w:sz="0" w:space="0" w:color="auto"/>
                <w:left w:val="none" w:sz="0" w:space="0" w:color="auto"/>
                <w:bottom w:val="none" w:sz="0" w:space="0" w:color="auto"/>
                <w:right w:val="none" w:sz="0" w:space="0" w:color="auto"/>
              </w:divBdr>
            </w:div>
          </w:divsChild>
        </w:div>
        <w:div w:id="1703243205">
          <w:marLeft w:val="0"/>
          <w:marRight w:val="0"/>
          <w:marTop w:val="0"/>
          <w:marBottom w:val="0"/>
          <w:divBdr>
            <w:top w:val="none" w:sz="0" w:space="0" w:color="auto"/>
            <w:left w:val="none" w:sz="0" w:space="0" w:color="auto"/>
            <w:bottom w:val="none" w:sz="0" w:space="0" w:color="auto"/>
            <w:right w:val="none" w:sz="0" w:space="0" w:color="auto"/>
          </w:divBdr>
        </w:div>
        <w:div w:id="1869947799">
          <w:marLeft w:val="0"/>
          <w:marRight w:val="0"/>
          <w:marTop w:val="0"/>
          <w:marBottom w:val="170"/>
          <w:divBdr>
            <w:top w:val="none" w:sz="0" w:space="0" w:color="auto"/>
            <w:left w:val="none" w:sz="0" w:space="0" w:color="auto"/>
            <w:bottom w:val="none" w:sz="0" w:space="0" w:color="auto"/>
            <w:right w:val="none" w:sz="0" w:space="0" w:color="auto"/>
          </w:divBdr>
          <w:divsChild>
            <w:div w:id="1774471059">
              <w:marLeft w:val="0"/>
              <w:marRight w:val="0"/>
              <w:marTop w:val="170"/>
              <w:marBottom w:val="170"/>
              <w:divBdr>
                <w:top w:val="none" w:sz="0" w:space="0" w:color="auto"/>
                <w:left w:val="none" w:sz="0" w:space="0" w:color="auto"/>
                <w:bottom w:val="none" w:sz="0" w:space="0" w:color="auto"/>
                <w:right w:val="none" w:sz="0" w:space="0" w:color="auto"/>
              </w:divBdr>
            </w:div>
          </w:divsChild>
        </w:div>
        <w:div w:id="2001496337">
          <w:marLeft w:val="0"/>
          <w:marRight w:val="0"/>
          <w:marTop w:val="0"/>
          <w:marBottom w:val="0"/>
          <w:divBdr>
            <w:top w:val="none" w:sz="0" w:space="0" w:color="auto"/>
            <w:left w:val="none" w:sz="0" w:space="0" w:color="auto"/>
            <w:bottom w:val="none" w:sz="0" w:space="0" w:color="auto"/>
            <w:right w:val="none" w:sz="0" w:space="0" w:color="auto"/>
          </w:divBdr>
        </w:div>
      </w:divsChild>
    </w:div>
    <w:div w:id="1793593554">
      <w:bodyDiv w:val="1"/>
      <w:marLeft w:val="0"/>
      <w:marRight w:val="0"/>
      <w:marTop w:val="0"/>
      <w:marBottom w:val="0"/>
      <w:divBdr>
        <w:top w:val="single" w:sz="2" w:space="0" w:color="CC3640"/>
        <w:left w:val="none" w:sz="0" w:space="0" w:color="auto"/>
        <w:bottom w:val="none" w:sz="0" w:space="0" w:color="auto"/>
        <w:right w:val="none" w:sz="0" w:space="0" w:color="auto"/>
      </w:divBdr>
      <w:divsChild>
        <w:div w:id="966660807">
          <w:marLeft w:val="0"/>
          <w:marRight w:val="0"/>
          <w:marTop w:val="0"/>
          <w:marBottom w:val="0"/>
          <w:divBdr>
            <w:top w:val="single" w:sz="2" w:space="0" w:color="FF0000"/>
            <w:left w:val="single" w:sz="2" w:space="0" w:color="FF0000"/>
            <w:bottom w:val="single" w:sz="2" w:space="0" w:color="FF0000"/>
            <w:right w:val="single" w:sz="2" w:space="0" w:color="FF0000"/>
          </w:divBdr>
          <w:divsChild>
            <w:div w:id="1783918768">
              <w:marLeft w:val="0"/>
              <w:marRight w:val="0"/>
              <w:marTop w:val="0"/>
              <w:marBottom w:val="0"/>
              <w:divBdr>
                <w:top w:val="none" w:sz="0" w:space="0" w:color="auto"/>
                <w:left w:val="single" w:sz="6" w:space="0" w:color="DDDDDD"/>
                <w:bottom w:val="none" w:sz="0" w:space="0" w:color="auto"/>
                <w:right w:val="none" w:sz="0" w:space="0" w:color="auto"/>
              </w:divBdr>
              <w:divsChild>
                <w:div w:id="1740397670">
                  <w:marLeft w:val="0"/>
                  <w:marRight w:val="0"/>
                  <w:marTop w:val="0"/>
                  <w:marBottom w:val="0"/>
                  <w:divBdr>
                    <w:top w:val="single" w:sz="2" w:space="0" w:color="008000"/>
                    <w:left w:val="single" w:sz="2" w:space="0" w:color="008000"/>
                    <w:bottom w:val="single" w:sz="2" w:space="0" w:color="008000"/>
                    <w:right w:val="single" w:sz="2" w:space="0" w:color="008000"/>
                  </w:divBdr>
                  <w:divsChild>
                    <w:div w:id="595863057">
                      <w:marLeft w:val="0"/>
                      <w:marRight w:val="0"/>
                      <w:marTop w:val="0"/>
                      <w:marBottom w:val="0"/>
                      <w:divBdr>
                        <w:top w:val="none" w:sz="0" w:space="0" w:color="auto"/>
                        <w:left w:val="none" w:sz="0" w:space="0" w:color="auto"/>
                        <w:bottom w:val="none" w:sz="0" w:space="0" w:color="auto"/>
                        <w:right w:val="none" w:sz="0" w:space="0" w:color="auto"/>
                      </w:divBdr>
                      <w:divsChild>
                        <w:div w:id="1635986983">
                          <w:marLeft w:val="0"/>
                          <w:marRight w:val="0"/>
                          <w:marTop w:val="0"/>
                          <w:marBottom w:val="0"/>
                          <w:divBdr>
                            <w:top w:val="none" w:sz="0" w:space="0" w:color="auto"/>
                            <w:left w:val="none" w:sz="0" w:space="0" w:color="auto"/>
                            <w:bottom w:val="none" w:sz="0" w:space="0" w:color="auto"/>
                            <w:right w:val="none" w:sz="0" w:space="0" w:color="auto"/>
                          </w:divBdr>
                          <w:divsChild>
                            <w:div w:id="4398879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812484092">
      <w:bodyDiv w:val="1"/>
      <w:marLeft w:val="0"/>
      <w:marRight w:val="0"/>
      <w:marTop w:val="0"/>
      <w:marBottom w:val="0"/>
      <w:divBdr>
        <w:top w:val="single" w:sz="2" w:space="0" w:color="CC3640"/>
        <w:left w:val="none" w:sz="0" w:space="0" w:color="auto"/>
        <w:bottom w:val="none" w:sz="0" w:space="0" w:color="auto"/>
        <w:right w:val="none" w:sz="0" w:space="0" w:color="auto"/>
      </w:divBdr>
      <w:divsChild>
        <w:div w:id="994333071">
          <w:marLeft w:val="0"/>
          <w:marRight w:val="0"/>
          <w:marTop w:val="0"/>
          <w:marBottom w:val="0"/>
          <w:divBdr>
            <w:top w:val="single" w:sz="2" w:space="0" w:color="FF0000"/>
            <w:left w:val="single" w:sz="2" w:space="0" w:color="FF0000"/>
            <w:bottom w:val="single" w:sz="2" w:space="0" w:color="FF0000"/>
            <w:right w:val="single" w:sz="2" w:space="0" w:color="FF0000"/>
          </w:divBdr>
          <w:divsChild>
            <w:div w:id="1218667855">
              <w:marLeft w:val="0"/>
              <w:marRight w:val="0"/>
              <w:marTop w:val="0"/>
              <w:marBottom w:val="0"/>
              <w:divBdr>
                <w:top w:val="none" w:sz="0" w:space="0" w:color="auto"/>
                <w:left w:val="single" w:sz="6" w:space="0" w:color="DDDDDD"/>
                <w:bottom w:val="none" w:sz="0" w:space="0" w:color="auto"/>
                <w:right w:val="none" w:sz="0" w:space="0" w:color="auto"/>
              </w:divBdr>
              <w:divsChild>
                <w:div w:id="1703553579">
                  <w:marLeft w:val="0"/>
                  <w:marRight w:val="0"/>
                  <w:marTop w:val="0"/>
                  <w:marBottom w:val="0"/>
                  <w:divBdr>
                    <w:top w:val="single" w:sz="2" w:space="0" w:color="008000"/>
                    <w:left w:val="single" w:sz="2" w:space="0" w:color="008000"/>
                    <w:bottom w:val="single" w:sz="2" w:space="0" w:color="008000"/>
                    <w:right w:val="single" w:sz="2" w:space="0" w:color="008000"/>
                  </w:divBdr>
                  <w:divsChild>
                    <w:div w:id="640892311">
                      <w:marLeft w:val="0"/>
                      <w:marRight w:val="0"/>
                      <w:marTop w:val="0"/>
                      <w:marBottom w:val="0"/>
                      <w:divBdr>
                        <w:top w:val="none" w:sz="0" w:space="0" w:color="auto"/>
                        <w:left w:val="none" w:sz="0" w:space="0" w:color="auto"/>
                        <w:bottom w:val="none" w:sz="0" w:space="0" w:color="auto"/>
                        <w:right w:val="none" w:sz="0" w:space="0" w:color="auto"/>
                      </w:divBdr>
                      <w:divsChild>
                        <w:div w:id="225914334">
                          <w:marLeft w:val="0"/>
                          <w:marRight w:val="0"/>
                          <w:marTop w:val="0"/>
                          <w:marBottom w:val="0"/>
                          <w:divBdr>
                            <w:top w:val="none" w:sz="0" w:space="0" w:color="auto"/>
                            <w:left w:val="none" w:sz="0" w:space="0" w:color="auto"/>
                            <w:bottom w:val="none" w:sz="0" w:space="0" w:color="auto"/>
                            <w:right w:val="none" w:sz="0" w:space="0" w:color="auto"/>
                          </w:divBdr>
                          <w:divsChild>
                            <w:div w:id="2065903139">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833763136">
      <w:bodyDiv w:val="1"/>
      <w:marLeft w:val="0"/>
      <w:marRight w:val="0"/>
      <w:marTop w:val="0"/>
      <w:marBottom w:val="0"/>
      <w:divBdr>
        <w:top w:val="none" w:sz="0" w:space="0" w:color="auto"/>
        <w:left w:val="none" w:sz="0" w:space="0" w:color="auto"/>
        <w:bottom w:val="none" w:sz="0" w:space="0" w:color="auto"/>
        <w:right w:val="none" w:sz="0" w:space="0" w:color="auto"/>
      </w:divBdr>
    </w:div>
    <w:div w:id="1852600281">
      <w:bodyDiv w:val="1"/>
      <w:marLeft w:val="0"/>
      <w:marRight w:val="0"/>
      <w:marTop w:val="0"/>
      <w:marBottom w:val="0"/>
      <w:divBdr>
        <w:top w:val="none" w:sz="0" w:space="0" w:color="auto"/>
        <w:left w:val="none" w:sz="0" w:space="0" w:color="auto"/>
        <w:bottom w:val="none" w:sz="0" w:space="0" w:color="auto"/>
        <w:right w:val="none" w:sz="0" w:space="0" w:color="auto"/>
      </w:divBdr>
    </w:div>
    <w:div w:id="1925258741">
      <w:bodyDiv w:val="1"/>
      <w:marLeft w:val="0"/>
      <w:marRight w:val="0"/>
      <w:marTop w:val="0"/>
      <w:marBottom w:val="0"/>
      <w:divBdr>
        <w:top w:val="single" w:sz="2" w:space="0" w:color="CC3640"/>
        <w:left w:val="none" w:sz="0" w:space="0" w:color="auto"/>
        <w:bottom w:val="none" w:sz="0" w:space="0" w:color="auto"/>
        <w:right w:val="none" w:sz="0" w:space="0" w:color="auto"/>
      </w:divBdr>
      <w:divsChild>
        <w:div w:id="493567667">
          <w:marLeft w:val="0"/>
          <w:marRight w:val="0"/>
          <w:marTop w:val="0"/>
          <w:marBottom w:val="0"/>
          <w:divBdr>
            <w:top w:val="single" w:sz="2" w:space="0" w:color="FF0000"/>
            <w:left w:val="single" w:sz="2" w:space="0" w:color="FF0000"/>
            <w:bottom w:val="single" w:sz="2" w:space="0" w:color="FF0000"/>
            <w:right w:val="single" w:sz="2" w:space="0" w:color="FF0000"/>
          </w:divBdr>
          <w:divsChild>
            <w:div w:id="1055542732">
              <w:marLeft w:val="0"/>
              <w:marRight w:val="0"/>
              <w:marTop w:val="0"/>
              <w:marBottom w:val="0"/>
              <w:divBdr>
                <w:top w:val="none" w:sz="0" w:space="0" w:color="auto"/>
                <w:left w:val="single" w:sz="6" w:space="0" w:color="DDDDDD"/>
                <w:bottom w:val="none" w:sz="0" w:space="0" w:color="auto"/>
                <w:right w:val="none" w:sz="0" w:space="0" w:color="auto"/>
              </w:divBdr>
              <w:divsChild>
                <w:div w:id="1142773995">
                  <w:marLeft w:val="0"/>
                  <w:marRight w:val="0"/>
                  <w:marTop w:val="0"/>
                  <w:marBottom w:val="0"/>
                  <w:divBdr>
                    <w:top w:val="single" w:sz="2" w:space="0" w:color="008000"/>
                    <w:left w:val="single" w:sz="2" w:space="0" w:color="008000"/>
                    <w:bottom w:val="single" w:sz="2" w:space="0" w:color="008000"/>
                    <w:right w:val="single" w:sz="2" w:space="0" w:color="008000"/>
                  </w:divBdr>
                  <w:divsChild>
                    <w:div w:id="9570860">
                      <w:marLeft w:val="0"/>
                      <w:marRight w:val="0"/>
                      <w:marTop w:val="0"/>
                      <w:marBottom w:val="0"/>
                      <w:divBdr>
                        <w:top w:val="none" w:sz="0" w:space="0" w:color="auto"/>
                        <w:left w:val="none" w:sz="0" w:space="0" w:color="auto"/>
                        <w:bottom w:val="none" w:sz="0" w:space="0" w:color="auto"/>
                        <w:right w:val="none" w:sz="0" w:space="0" w:color="auto"/>
                      </w:divBdr>
                      <w:divsChild>
                        <w:div w:id="2047370891">
                          <w:marLeft w:val="0"/>
                          <w:marRight w:val="0"/>
                          <w:marTop w:val="0"/>
                          <w:marBottom w:val="0"/>
                          <w:divBdr>
                            <w:top w:val="none" w:sz="0" w:space="0" w:color="auto"/>
                            <w:left w:val="none" w:sz="0" w:space="0" w:color="auto"/>
                            <w:bottom w:val="none" w:sz="0" w:space="0" w:color="auto"/>
                            <w:right w:val="none" w:sz="0" w:space="0" w:color="auto"/>
                          </w:divBdr>
                          <w:divsChild>
                            <w:div w:id="1147361499">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1966156598">
      <w:bodyDiv w:val="1"/>
      <w:marLeft w:val="0"/>
      <w:marRight w:val="0"/>
      <w:marTop w:val="0"/>
      <w:marBottom w:val="0"/>
      <w:divBdr>
        <w:top w:val="none" w:sz="0" w:space="0" w:color="auto"/>
        <w:left w:val="none" w:sz="0" w:space="0" w:color="auto"/>
        <w:bottom w:val="none" w:sz="0" w:space="0" w:color="auto"/>
        <w:right w:val="none" w:sz="0" w:space="0" w:color="auto"/>
      </w:divBdr>
    </w:div>
    <w:div w:id="1978098911">
      <w:bodyDiv w:val="1"/>
      <w:marLeft w:val="0"/>
      <w:marRight w:val="0"/>
      <w:marTop w:val="0"/>
      <w:marBottom w:val="0"/>
      <w:divBdr>
        <w:top w:val="none" w:sz="0" w:space="0" w:color="auto"/>
        <w:left w:val="none" w:sz="0" w:space="0" w:color="auto"/>
        <w:bottom w:val="none" w:sz="0" w:space="0" w:color="auto"/>
        <w:right w:val="none" w:sz="0" w:space="0" w:color="auto"/>
      </w:divBdr>
      <w:divsChild>
        <w:div w:id="1504541123">
          <w:marLeft w:val="0"/>
          <w:marRight w:val="0"/>
          <w:marTop w:val="120"/>
          <w:marBottom w:val="120"/>
          <w:divBdr>
            <w:top w:val="none" w:sz="0" w:space="0" w:color="auto"/>
            <w:left w:val="none" w:sz="0" w:space="0" w:color="auto"/>
            <w:bottom w:val="none" w:sz="0" w:space="0" w:color="auto"/>
            <w:right w:val="none" w:sz="0" w:space="0" w:color="auto"/>
          </w:divBdr>
        </w:div>
      </w:divsChild>
    </w:div>
    <w:div w:id="1987511835">
      <w:bodyDiv w:val="1"/>
      <w:marLeft w:val="0"/>
      <w:marRight w:val="0"/>
      <w:marTop w:val="0"/>
      <w:marBottom w:val="0"/>
      <w:divBdr>
        <w:top w:val="none" w:sz="0" w:space="0" w:color="auto"/>
        <w:left w:val="none" w:sz="0" w:space="0" w:color="auto"/>
        <w:bottom w:val="none" w:sz="0" w:space="0" w:color="auto"/>
        <w:right w:val="none" w:sz="0" w:space="0" w:color="auto"/>
      </w:divBdr>
    </w:div>
    <w:div w:id="2001342795">
      <w:bodyDiv w:val="1"/>
      <w:marLeft w:val="0"/>
      <w:marRight w:val="0"/>
      <w:marTop w:val="0"/>
      <w:marBottom w:val="0"/>
      <w:divBdr>
        <w:top w:val="none" w:sz="0" w:space="0" w:color="auto"/>
        <w:left w:val="none" w:sz="0" w:space="0" w:color="auto"/>
        <w:bottom w:val="none" w:sz="0" w:space="0" w:color="auto"/>
        <w:right w:val="none" w:sz="0" w:space="0" w:color="auto"/>
      </w:divBdr>
    </w:div>
    <w:div w:id="2043626269">
      <w:bodyDiv w:val="1"/>
      <w:marLeft w:val="0"/>
      <w:marRight w:val="0"/>
      <w:marTop w:val="0"/>
      <w:marBottom w:val="0"/>
      <w:divBdr>
        <w:top w:val="none" w:sz="0" w:space="0" w:color="auto"/>
        <w:left w:val="none" w:sz="0" w:space="0" w:color="auto"/>
        <w:bottom w:val="none" w:sz="0" w:space="0" w:color="auto"/>
        <w:right w:val="none" w:sz="0" w:space="0" w:color="auto"/>
      </w:divBdr>
    </w:div>
    <w:div w:id="2077318481">
      <w:bodyDiv w:val="1"/>
      <w:marLeft w:val="0"/>
      <w:marRight w:val="0"/>
      <w:marTop w:val="0"/>
      <w:marBottom w:val="0"/>
      <w:divBdr>
        <w:top w:val="none" w:sz="0" w:space="0" w:color="auto"/>
        <w:left w:val="none" w:sz="0" w:space="0" w:color="auto"/>
        <w:bottom w:val="none" w:sz="0" w:space="0" w:color="auto"/>
        <w:right w:val="none" w:sz="0" w:space="0" w:color="auto"/>
      </w:divBdr>
    </w:div>
    <w:div w:id="2078505781">
      <w:bodyDiv w:val="1"/>
      <w:marLeft w:val="0"/>
      <w:marRight w:val="0"/>
      <w:marTop w:val="0"/>
      <w:marBottom w:val="0"/>
      <w:divBdr>
        <w:top w:val="single" w:sz="2" w:space="0" w:color="CC3640"/>
        <w:left w:val="none" w:sz="0" w:space="0" w:color="auto"/>
        <w:bottom w:val="none" w:sz="0" w:space="0" w:color="auto"/>
        <w:right w:val="none" w:sz="0" w:space="0" w:color="auto"/>
      </w:divBdr>
      <w:divsChild>
        <w:div w:id="2079472227">
          <w:marLeft w:val="0"/>
          <w:marRight w:val="0"/>
          <w:marTop w:val="0"/>
          <w:marBottom w:val="0"/>
          <w:divBdr>
            <w:top w:val="single" w:sz="2" w:space="0" w:color="FF0000"/>
            <w:left w:val="single" w:sz="2" w:space="0" w:color="FF0000"/>
            <w:bottom w:val="single" w:sz="2" w:space="0" w:color="FF0000"/>
            <w:right w:val="single" w:sz="2" w:space="0" w:color="FF0000"/>
          </w:divBdr>
          <w:divsChild>
            <w:div w:id="552892544">
              <w:marLeft w:val="0"/>
              <w:marRight w:val="0"/>
              <w:marTop w:val="0"/>
              <w:marBottom w:val="0"/>
              <w:divBdr>
                <w:top w:val="none" w:sz="0" w:space="0" w:color="auto"/>
                <w:left w:val="single" w:sz="6" w:space="0" w:color="DDDDDD"/>
                <w:bottom w:val="none" w:sz="0" w:space="0" w:color="auto"/>
                <w:right w:val="none" w:sz="0" w:space="0" w:color="auto"/>
              </w:divBdr>
              <w:divsChild>
                <w:div w:id="528418821">
                  <w:marLeft w:val="0"/>
                  <w:marRight w:val="0"/>
                  <w:marTop w:val="0"/>
                  <w:marBottom w:val="0"/>
                  <w:divBdr>
                    <w:top w:val="single" w:sz="2" w:space="0" w:color="008000"/>
                    <w:left w:val="single" w:sz="2" w:space="0" w:color="008000"/>
                    <w:bottom w:val="single" w:sz="2" w:space="0" w:color="008000"/>
                    <w:right w:val="single" w:sz="2" w:space="0" w:color="008000"/>
                  </w:divBdr>
                  <w:divsChild>
                    <w:div w:id="1492797723">
                      <w:marLeft w:val="0"/>
                      <w:marRight w:val="0"/>
                      <w:marTop w:val="0"/>
                      <w:marBottom w:val="0"/>
                      <w:divBdr>
                        <w:top w:val="none" w:sz="0" w:space="0" w:color="auto"/>
                        <w:left w:val="none" w:sz="0" w:space="0" w:color="auto"/>
                        <w:bottom w:val="none" w:sz="0" w:space="0" w:color="auto"/>
                        <w:right w:val="none" w:sz="0" w:space="0" w:color="auto"/>
                      </w:divBdr>
                      <w:divsChild>
                        <w:div w:id="918100349">
                          <w:marLeft w:val="0"/>
                          <w:marRight w:val="0"/>
                          <w:marTop w:val="0"/>
                          <w:marBottom w:val="0"/>
                          <w:divBdr>
                            <w:top w:val="none" w:sz="0" w:space="0" w:color="auto"/>
                            <w:left w:val="none" w:sz="0" w:space="0" w:color="auto"/>
                            <w:bottom w:val="none" w:sz="0" w:space="0" w:color="auto"/>
                            <w:right w:val="none" w:sz="0" w:space="0" w:color="auto"/>
                          </w:divBdr>
                          <w:divsChild>
                            <w:div w:id="729035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2126266454">
      <w:bodyDiv w:val="1"/>
      <w:marLeft w:val="0"/>
      <w:marRight w:val="0"/>
      <w:marTop w:val="0"/>
      <w:marBottom w:val="0"/>
      <w:divBdr>
        <w:top w:val="none" w:sz="0" w:space="0" w:color="auto"/>
        <w:left w:val="none" w:sz="0" w:space="0" w:color="auto"/>
        <w:bottom w:val="none" w:sz="0" w:space="0" w:color="auto"/>
        <w:right w:val="none" w:sz="0" w:space="0" w:color="auto"/>
      </w:divBdr>
    </w:div>
    <w:div w:id="21448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impuestos.com/sites/fiscal-impuestos.com/files/NSL02596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325B-BA3F-4652-8184-69546D1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8069</Words>
  <Characters>44381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APUNTES SOBRE LA ACTUALIDAD FISCAL</vt:lpstr>
    </vt:vector>
  </TitlesOfParts>
  <Company>Atlantis Hotels</Company>
  <LinksUpToDate>false</LinksUpToDate>
  <CharactersWithSpaces>52346</CharactersWithSpaces>
  <SharedDoc>false</SharedDoc>
  <HLinks>
    <vt:vector size="6" baseType="variant">
      <vt:variant>
        <vt:i4>1310790</vt:i4>
      </vt:variant>
      <vt:variant>
        <vt:i4>0</vt:i4>
      </vt:variant>
      <vt:variant>
        <vt:i4>0</vt:i4>
      </vt:variant>
      <vt:variant>
        <vt:i4>5</vt:i4>
      </vt:variant>
      <vt:variant>
        <vt:lpwstr>http://www.poderjudicial.es/cgpj/es/Poder-Judicial/Noticias-Judiciales/El-Tribunal-Supremo-determina-el-alcance-de-la-sentencia-del-Constitucional-sobre-la-plusvalia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SOBRE LA ACTUALIDAD FISCAL</dc:title>
  <dc:creator>JOAN LORENTE MONTAÑES</dc:creator>
  <cp:lastModifiedBy>Juan Lorente</cp:lastModifiedBy>
  <cp:revision>9</cp:revision>
  <dcterms:created xsi:type="dcterms:W3CDTF">2020-08-26T17:40:00Z</dcterms:created>
  <dcterms:modified xsi:type="dcterms:W3CDTF">2020-08-28T08:49:00Z</dcterms:modified>
</cp:coreProperties>
</file>